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05E4" w14:textId="77777777" w:rsidR="00B77774" w:rsidRPr="006328A6" w:rsidRDefault="00B77774" w:rsidP="00B77774">
      <w:pPr>
        <w:jc w:val="right"/>
        <w:rPr>
          <w:rFonts w:ascii="Vinci" w:eastAsia="Vinci Sans" w:hAnsi="Vinci" w:cs="Vinci Sans"/>
        </w:rPr>
      </w:pPr>
      <w:r>
        <w:rPr>
          <w:rFonts w:ascii="Vinci" w:hAnsi="Vinci"/>
        </w:rPr>
        <w:t>Beograd</w:t>
      </w:r>
      <w:r w:rsidRPr="006328A6">
        <w:rPr>
          <w:rFonts w:ascii="Vinci" w:hAnsi="Vinci"/>
        </w:rPr>
        <w:t>, 1</w:t>
      </w:r>
      <w:r>
        <w:rPr>
          <w:rFonts w:ascii="Vinci" w:hAnsi="Vinci"/>
        </w:rPr>
        <w:t>5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april</w:t>
      </w:r>
      <w:r w:rsidRPr="006328A6">
        <w:rPr>
          <w:rFonts w:ascii="Vinci" w:hAnsi="Vinci"/>
        </w:rPr>
        <w:t xml:space="preserve"> 2020. </w:t>
      </w:r>
      <w:r>
        <w:rPr>
          <w:rFonts w:ascii="Vinci" w:hAnsi="Vinci"/>
        </w:rPr>
        <w:t>godine</w:t>
      </w:r>
    </w:p>
    <w:p w14:paraId="25DBB60D" w14:textId="77777777" w:rsidR="00B77774" w:rsidRPr="006328A6" w:rsidRDefault="00B77774" w:rsidP="00B77774">
      <w:pPr>
        <w:jc w:val="right"/>
        <w:rPr>
          <w:rFonts w:ascii="Vinci" w:eastAsia="Vinci Sans" w:hAnsi="Vinci" w:cs="Vinci Sans"/>
        </w:rPr>
      </w:pPr>
    </w:p>
    <w:p w14:paraId="78E3C95E" w14:textId="77777777" w:rsidR="00B77774" w:rsidRPr="006328A6" w:rsidRDefault="00B77774" w:rsidP="00B77774">
      <w:pPr>
        <w:rPr>
          <w:rFonts w:ascii="Vinci" w:eastAsia="Vinci Sans" w:hAnsi="Vinci" w:cs="Vinci Sans"/>
        </w:rPr>
      </w:pPr>
    </w:p>
    <w:p w14:paraId="55B10146" w14:textId="77777777" w:rsidR="00B77774" w:rsidRPr="006328A6" w:rsidRDefault="00B77774" w:rsidP="00B77774">
      <w:pPr>
        <w:jc w:val="center"/>
        <w:rPr>
          <w:rFonts w:ascii="Vinci" w:eastAsia="Vinci Sans" w:hAnsi="Vinci" w:cs="Vinci Sans"/>
          <w:b/>
        </w:rPr>
      </w:pPr>
    </w:p>
    <w:p w14:paraId="028ACA74" w14:textId="77777777" w:rsidR="00B77774" w:rsidRPr="006328A6" w:rsidRDefault="00B77774" w:rsidP="00B77774">
      <w:pPr>
        <w:jc w:val="center"/>
        <w:rPr>
          <w:rFonts w:ascii="Vinci" w:hAnsi="Vinci"/>
          <w:b/>
          <w:sz w:val="24"/>
          <w:szCs w:val="24"/>
        </w:rPr>
      </w:pPr>
      <w:r>
        <w:rPr>
          <w:rFonts w:ascii="Vinci" w:hAnsi="Vinci"/>
          <w:b/>
          <w:sz w:val="24"/>
          <w:szCs w:val="24"/>
        </w:rPr>
        <w:t xml:space="preserve">VINCI Airports </w:t>
      </w:r>
      <w:r w:rsidRPr="006328A6">
        <w:rPr>
          <w:rFonts w:ascii="Vinci" w:hAnsi="Vinci"/>
          <w:b/>
          <w:sz w:val="24"/>
          <w:szCs w:val="24"/>
        </w:rPr>
        <w:t xml:space="preserve">– </w:t>
      </w:r>
      <w:r>
        <w:rPr>
          <w:rFonts w:ascii="Vinci" w:hAnsi="Vinci"/>
          <w:b/>
          <w:sz w:val="24"/>
          <w:szCs w:val="24"/>
        </w:rPr>
        <w:t>saobraćaj</w:t>
      </w:r>
      <w:r w:rsidRPr="006328A6">
        <w:rPr>
          <w:rFonts w:ascii="Vinci" w:hAnsi="Vinci"/>
          <w:b/>
          <w:sz w:val="24"/>
          <w:szCs w:val="24"/>
        </w:rPr>
        <w:t xml:space="preserve"> </w:t>
      </w:r>
      <w:r>
        <w:rPr>
          <w:rFonts w:ascii="Vinci" w:hAnsi="Vinci"/>
          <w:b/>
          <w:sz w:val="24"/>
          <w:szCs w:val="24"/>
        </w:rPr>
        <w:t>za</w:t>
      </w:r>
      <w:r w:rsidRPr="006328A6">
        <w:rPr>
          <w:rFonts w:ascii="Vinci" w:hAnsi="Vinci"/>
          <w:b/>
          <w:sz w:val="24"/>
          <w:szCs w:val="24"/>
        </w:rPr>
        <w:t xml:space="preserve"> </w:t>
      </w:r>
      <w:r>
        <w:rPr>
          <w:rFonts w:ascii="Vinci" w:hAnsi="Vinci"/>
          <w:b/>
          <w:sz w:val="24"/>
          <w:szCs w:val="24"/>
        </w:rPr>
        <w:t>prvi</w:t>
      </w:r>
      <w:r w:rsidRPr="006328A6">
        <w:rPr>
          <w:rFonts w:ascii="Vinci" w:hAnsi="Vinci"/>
          <w:b/>
          <w:sz w:val="24"/>
          <w:szCs w:val="24"/>
        </w:rPr>
        <w:t xml:space="preserve"> </w:t>
      </w:r>
      <w:r>
        <w:rPr>
          <w:rFonts w:ascii="Vinci" w:hAnsi="Vinci"/>
          <w:b/>
          <w:sz w:val="24"/>
          <w:szCs w:val="24"/>
        </w:rPr>
        <w:t>kvartal</w:t>
      </w:r>
      <w:r w:rsidRPr="006328A6">
        <w:rPr>
          <w:rFonts w:ascii="Vinci" w:hAnsi="Vinci"/>
          <w:b/>
          <w:sz w:val="24"/>
          <w:szCs w:val="24"/>
        </w:rPr>
        <w:t xml:space="preserve"> 2020. </w:t>
      </w:r>
      <w:r>
        <w:rPr>
          <w:rFonts w:ascii="Vinci" w:hAnsi="Vinci"/>
          <w:b/>
          <w:sz w:val="24"/>
          <w:szCs w:val="24"/>
        </w:rPr>
        <w:t>godine</w:t>
      </w:r>
    </w:p>
    <w:p w14:paraId="21856676" w14:textId="77777777" w:rsidR="00B77774" w:rsidRPr="006328A6" w:rsidRDefault="00B77774" w:rsidP="00B77774">
      <w:pPr>
        <w:rPr>
          <w:rFonts w:ascii="Vinci" w:hAnsi="Vinci"/>
          <w:b/>
          <w:sz w:val="24"/>
          <w:szCs w:val="24"/>
        </w:rPr>
      </w:pPr>
    </w:p>
    <w:p w14:paraId="15B877B1" w14:textId="77777777" w:rsidR="00B77774" w:rsidRPr="006328A6" w:rsidRDefault="00B77774" w:rsidP="00B77774">
      <w:pPr>
        <w:rPr>
          <w:rFonts w:ascii="Vinci" w:eastAsia="Vinci Sans" w:hAnsi="Vinci" w:cs="Vinci Sans"/>
        </w:rPr>
      </w:pPr>
    </w:p>
    <w:p w14:paraId="60D47BF8" w14:textId="77777777" w:rsidR="00B77774" w:rsidRPr="006328A6" w:rsidRDefault="00B77774" w:rsidP="00B77774">
      <w:pPr>
        <w:jc w:val="both"/>
        <w:rPr>
          <w:rFonts w:ascii="Vinci" w:eastAsia="Vinci Sans" w:hAnsi="Vinci" w:cs="Vinci Sans"/>
          <w:b/>
        </w:rPr>
      </w:pPr>
      <w:r>
        <w:rPr>
          <w:rFonts w:ascii="Vinci" w:hAnsi="Vinci"/>
          <w:b/>
        </w:rPr>
        <w:t>Značajan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pad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broja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putnika</w:t>
      </w:r>
      <w:r w:rsidRPr="006328A6">
        <w:rPr>
          <w:rFonts w:ascii="Vinci" w:hAnsi="Vinci"/>
          <w:b/>
        </w:rPr>
        <w:t xml:space="preserve"> (-20.9%) </w:t>
      </w:r>
      <w:r>
        <w:rPr>
          <w:rFonts w:ascii="Vinci" w:hAnsi="Vinci"/>
          <w:b/>
        </w:rPr>
        <w:t>u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mreži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aerodroma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kompanije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VINCI Airports tokom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prvog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tromesečja</w:t>
      </w:r>
      <w:r w:rsidRPr="006328A6">
        <w:rPr>
          <w:rFonts w:ascii="Vinci" w:hAnsi="Vinci"/>
          <w:b/>
        </w:rPr>
        <w:t xml:space="preserve"> 2020. </w:t>
      </w:r>
      <w:r>
        <w:rPr>
          <w:rFonts w:ascii="Vinci" w:hAnsi="Vinci"/>
          <w:b/>
        </w:rPr>
        <w:t>godine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usled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pandemije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virusa</w:t>
      </w:r>
      <w:r w:rsidRPr="006328A6">
        <w:rPr>
          <w:rFonts w:ascii="Vinci" w:hAnsi="Vinci"/>
          <w:b/>
        </w:rPr>
        <w:t xml:space="preserve"> </w:t>
      </w:r>
      <w:r>
        <w:rPr>
          <w:rFonts w:ascii="Vinci" w:hAnsi="Vinci"/>
          <w:b/>
        </w:rPr>
        <w:t>COVID</w:t>
      </w:r>
      <w:r w:rsidRPr="006328A6">
        <w:rPr>
          <w:rFonts w:ascii="Vinci" w:hAnsi="Vinci"/>
          <w:b/>
        </w:rPr>
        <w:t>-19:</w:t>
      </w:r>
    </w:p>
    <w:p w14:paraId="52A4BB8C" w14:textId="77777777" w:rsidR="00B77774" w:rsidRPr="006328A6" w:rsidRDefault="00B77774" w:rsidP="00B7777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b/>
          <w:color w:val="000000"/>
        </w:rPr>
      </w:pPr>
      <w:r>
        <w:rPr>
          <w:rFonts w:ascii="Vinci" w:hAnsi="Vinci"/>
          <w:b/>
          <w:color w:val="000000"/>
        </w:rPr>
        <w:t>Aerodromi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Japanu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Kambodži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već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od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januara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  <w:lang w:val="sr-Cyrl-RS"/>
        </w:rPr>
        <w:t xml:space="preserve">su </w:t>
      </w:r>
      <w:r>
        <w:rPr>
          <w:rFonts w:ascii="Vinci" w:hAnsi="Vinci"/>
          <w:b/>
          <w:color w:val="000000"/>
        </w:rPr>
        <w:t>osetili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posledice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krize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kroz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smanjenje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saobraćaja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Kinom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Južnom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Korejom</w:t>
      </w:r>
      <w:r w:rsidRPr="006328A6">
        <w:rPr>
          <w:rFonts w:ascii="Vinci" w:hAnsi="Vinci"/>
          <w:b/>
          <w:color w:val="000000"/>
        </w:rPr>
        <w:t>.</w:t>
      </w:r>
    </w:p>
    <w:p w14:paraId="14BBDDA0" w14:textId="77777777" w:rsidR="00B77774" w:rsidRPr="006328A6" w:rsidRDefault="00B77774" w:rsidP="00B7777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hAnsi="Vinci"/>
          <w:b/>
          <w:color w:val="000000"/>
        </w:rPr>
      </w:pPr>
      <w:r>
        <w:rPr>
          <w:rFonts w:ascii="Vinci" w:hAnsi="Vinci"/>
          <w:b/>
          <w:color w:val="000000"/>
        </w:rPr>
        <w:t>Smanjenje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saobraćaja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proširilo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  <w:lang w:val="sr-Cyrl-RS"/>
        </w:rPr>
        <w:t xml:space="preserve">se </w:t>
      </w:r>
      <w:r>
        <w:rPr>
          <w:rFonts w:ascii="Vinci" w:hAnsi="Vinci"/>
          <w:b/>
          <w:color w:val="000000"/>
        </w:rPr>
        <w:t>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na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druge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aerodrome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martu</w:t>
      </w:r>
      <w:r>
        <w:rPr>
          <w:rFonts w:ascii="Vinci" w:hAnsi="Vinci"/>
          <w:b/>
          <w:color w:val="000000"/>
          <w:lang w:val="sr-Cyrl-RS"/>
        </w:rPr>
        <w:t>,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pošto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su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mnoge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zemlje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uvele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restriktivne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mere</w:t>
      </w:r>
      <w:r w:rsidRPr="006328A6">
        <w:rPr>
          <w:rFonts w:ascii="Vinci" w:hAnsi="Vinci"/>
          <w:b/>
          <w:color w:val="000000"/>
        </w:rPr>
        <w:t>.</w:t>
      </w:r>
    </w:p>
    <w:p w14:paraId="06320EF5" w14:textId="34D4ECE6" w:rsidR="00B77774" w:rsidRPr="006328A6" w:rsidRDefault="00B77774" w:rsidP="00B7777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b/>
          <w:color w:val="000000"/>
        </w:rPr>
      </w:pPr>
      <w:r>
        <w:rPr>
          <w:rFonts w:ascii="Vinci" w:hAnsi="Vinci"/>
          <w:b/>
          <w:color w:val="000000"/>
        </w:rPr>
        <w:t>Sada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je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saobraćaj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na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aerodromima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mreži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značajno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smanjen</w:t>
      </w:r>
      <w:r w:rsidRPr="006328A6">
        <w:rPr>
          <w:rFonts w:ascii="Vinci" w:hAnsi="Vinci"/>
          <w:b/>
          <w:color w:val="000000"/>
        </w:rPr>
        <w:t xml:space="preserve">, </w:t>
      </w:r>
      <w:r>
        <w:rPr>
          <w:rFonts w:ascii="Vinci" w:hAnsi="Vinci"/>
          <w:b/>
          <w:color w:val="000000"/>
        </w:rPr>
        <w:t>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delatnost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je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ograničena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uglavnom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na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  <w:lang w:val="sr-Cyrl-RS"/>
        </w:rPr>
        <w:t xml:space="preserve">letove od </w:t>
      </w:r>
      <w:r>
        <w:rPr>
          <w:rFonts w:ascii="Vinci" w:hAnsi="Vinci"/>
          <w:b/>
          <w:color w:val="000000"/>
        </w:rPr>
        <w:t>javn</w:t>
      </w:r>
      <w:r>
        <w:rPr>
          <w:rFonts w:ascii="Vinci" w:hAnsi="Vinci"/>
          <w:b/>
          <w:color w:val="000000"/>
          <w:lang w:val="sr-Cyrl-RS"/>
        </w:rPr>
        <w:t xml:space="preserve">og značaja </w:t>
      </w:r>
      <w:r>
        <w:rPr>
          <w:rFonts w:ascii="Vinci" w:hAnsi="Vinci"/>
          <w:b/>
          <w:color w:val="000000"/>
        </w:rPr>
        <w:t>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u medicinske svrhe</w:t>
      </w:r>
      <w:r w:rsidRPr="006328A6">
        <w:rPr>
          <w:rFonts w:ascii="Vinci" w:hAnsi="Vinci"/>
          <w:b/>
          <w:color w:val="000000"/>
        </w:rPr>
        <w:t xml:space="preserve">, </w:t>
      </w:r>
      <w:r>
        <w:rPr>
          <w:rFonts w:ascii="Vinci" w:hAnsi="Vinci"/>
          <w:b/>
          <w:color w:val="000000"/>
        </w:rPr>
        <w:t>kao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i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  <w:lang w:val="sr-Cyrl-RS"/>
        </w:rPr>
        <w:t xml:space="preserve">na </w:t>
      </w:r>
      <w:r>
        <w:rPr>
          <w:rFonts w:ascii="Vinci" w:hAnsi="Vinci"/>
          <w:b/>
          <w:color w:val="000000"/>
        </w:rPr>
        <w:t>logistiku</w:t>
      </w:r>
      <w:r w:rsidRPr="006328A6">
        <w:rPr>
          <w:rFonts w:ascii="Vinci" w:hAnsi="Vinci"/>
          <w:b/>
          <w:color w:val="000000"/>
        </w:rPr>
        <w:t>.</w:t>
      </w:r>
    </w:p>
    <w:p w14:paraId="51AD8C4B" w14:textId="77777777" w:rsidR="00E60242" w:rsidRPr="006328A6" w:rsidRDefault="00E60242" w:rsidP="00E602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inci" w:eastAsia="Vinci Sans" w:hAnsi="Vinci" w:cs="Vinci Sans"/>
          <w:b/>
          <w:color w:val="000000"/>
          <w:lang w:val="en-GB"/>
        </w:rPr>
      </w:pPr>
    </w:p>
    <w:p w14:paraId="09EBF423" w14:textId="77777777" w:rsidR="00E60242" w:rsidRPr="006328A6" w:rsidRDefault="00E60242" w:rsidP="00E60242">
      <w:pPr>
        <w:rPr>
          <w:rFonts w:ascii="Vinci" w:eastAsia="Vinci Sans" w:hAnsi="Vinci" w:cs="Vinci Sans"/>
          <w:lang w:val="en-GB"/>
        </w:rPr>
      </w:pPr>
    </w:p>
    <w:p w14:paraId="1A5767AC" w14:textId="77777777" w:rsidR="00174690" w:rsidRPr="006328A6" w:rsidRDefault="00174690" w:rsidP="00174690">
      <w:pPr>
        <w:autoSpaceDE w:val="0"/>
        <w:autoSpaceDN w:val="0"/>
        <w:adjustRightInd w:val="0"/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Nakon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dobrih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rezultata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januaru</w:t>
      </w:r>
      <w:r w:rsidRPr="006328A6">
        <w:rPr>
          <w:rFonts w:ascii="Vinci" w:hAnsi="Vinci"/>
        </w:rPr>
        <w:t xml:space="preserve"> 2020. </w:t>
      </w:r>
      <w:r>
        <w:rPr>
          <w:rFonts w:ascii="Vinci" w:hAnsi="Vinci"/>
        </w:rPr>
        <w:t>godine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rasta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od</w:t>
      </w:r>
      <w:r w:rsidRPr="006328A6">
        <w:rPr>
          <w:rFonts w:ascii="Vinci" w:hAnsi="Vinci"/>
        </w:rPr>
        <w:t xml:space="preserve"> 2,1%,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skladu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trendom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kraja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prethodne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godine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broj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putnika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smanj</w:t>
      </w:r>
      <w:r>
        <w:rPr>
          <w:rFonts w:ascii="Vinci" w:hAnsi="Vinci"/>
          <w:lang w:val="sr-Cyrl-RS"/>
        </w:rPr>
        <w:t xml:space="preserve">en je </w:t>
      </w:r>
      <w:r>
        <w:rPr>
          <w:rFonts w:ascii="Vinci" w:hAnsi="Vinci"/>
        </w:rPr>
        <w:t>za</w:t>
      </w:r>
      <w:r w:rsidRPr="006328A6">
        <w:rPr>
          <w:rFonts w:ascii="Vinci" w:hAnsi="Vinci"/>
        </w:rPr>
        <w:t xml:space="preserve"> 5%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februaru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usled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smanjene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potražnje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Aziji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Potom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saobraćaj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martu</w:t>
      </w:r>
      <w:r w:rsidRPr="006328A6">
        <w:rPr>
          <w:rFonts w:ascii="Vinci" w:hAnsi="Vinci"/>
        </w:rPr>
        <w:t xml:space="preserve"> (</w:t>
      </w:r>
      <w:r>
        <w:rPr>
          <w:rFonts w:ascii="Vinci" w:hAnsi="Vinci"/>
        </w:rPr>
        <w:t>pad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od</w:t>
      </w:r>
      <w:r w:rsidRPr="006328A6">
        <w:rPr>
          <w:rFonts w:ascii="Vinci" w:hAnsi="Vinci"/>
        </w:rPr>
        <w:t xml:space="preserve"> 55,7%) </w:t>
      </w:r>
      <w:r>
        <w:rPr>
          <w:rFonts w:ascii="Vinci" w:hAnsi="Vinci"/>
        </w:rPr>
        <w:t>snažan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uticaj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imale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zabrane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putovanja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uvedene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mnogim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državama</w:t>
      </w:r>
      <w:r w:rsidRPr="006328A6">
        <w:rPr>
          <w:rFonts w:ascii="Vinci" w:hAnsi="Vinci"/>
        </w:rPr>
        <w:t xml:space="preserve"> (</w:t>
      </w:r>
      <w:r>
        <w:rPr>
          <w:rFonts w:ascii="Vinci" w:hAnsi="Vinci"/>
        </w:rPr>
        <w:t>karantin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socijalno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distanciranje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zatvaranje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granica</w:t>
      </w:r>
      <w:r w:rsidRPr="006328A6">
        <w:rPr>
          <w:rFonts w:ascii="Vinci" w:hAnsi="Vinci"/>
        </w:rPr>
        <w:t xml:space="preserve">) </w:t>
      </w:r>
      <w:r>
        <w:rPr>
          <w:rFonts w:ascii="Vinci" w:hAnsi="Vinci"/>
        </w:rPr>
        <w:t>kako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ograničilo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širenje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pandemije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Naročito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oštar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pad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dogodio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  <w:lang w:val="sr-Cyrl-RS"/>
        </w:rPr>
        <w:t xml:space="preserve">se </w:t>
      </w:r>
      <w:r>
        <w:rPr>
          <w:rFonts w:ascii="Vinci" w:hAnsi="Vinci"/>
        </w:rPr>
        <w:t>krajem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marta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sa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veoma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malim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brojem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putnika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pojedinim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aerodromima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iz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mreže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Isti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trend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  <w:lang w:val="sr-Cyrl-RS"/>
        </w:rPr>
        <w:t>nastavio se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početkom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aprila</w:t>
      </w:r>
      <w:r w:rsidRPr="006328A6">
        <w:rPr>
          <w:rFonts w:ascii="Vinci" w:hAnsi="Vinci"/>
        </w:rPr>
        <w:t>.</w:t>
      </w:r>
    </w:p>
    <w:p w14:paraId="2630FD04" w14:textId="77777777" w:rsidR="00174690" w:rsidRPr="006328A6" w:rsidRDefault="00174690" w:rsidP="00174690">
      <w:pPr>
        <w:pStyle w:val="ListParagraph"/>
        <w:autoSpaceDE w:val="0"/>
        <w:autoSpaceDN w:val="0"/>
        <w:adjustRightInd w:val="0"/>
        <w:jc w:val="both"/>
        <w:rPr>
          <w:rFonts w:ascii="Vinci" w:hAnsi="Vinci" w:cs="VinciSans-Light"/>
          <w:sz w:val="22"/>
          <w:szCs w:val="22"/>
          <w:lang w:val="en-GB"/>
        </w:rPr>
      </w:pPr>
    </w:p>
    <w:p w14:paraId="40673987" w14:textId="77777777" w:rsidR="00174690" w:rsidRPr="006328A6" w:rsidRDefault="00174690" w:rsidP="00174690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Sve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ukupno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broj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putnika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smanjen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</w:t>
      </w:r>
      <w:r w:rsidRPr="006328A6">
        <w:rPr>
          <w:rFonts w:ascii="Vinci" w:hAnsi="Vinci"/>
        </w:rPr>
        <w:t xml:space="preserve"> 20,9%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prvom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tromesečju</w:t>
      </w:r>
      <w:r w:rsidRPr="006328A6">
        <w:rPr>
          <w:rFonts w:ascii="Vinci" w:hAnsi="Vinci"/>
        </w:rPr>
        <w:t xml:space="preserve"> 2020. </w:t>
      </w:r>
      <w:r>
        <w:rPr>
          <w:rFonts w:ascii="Vinci" w:hAnsi="Vinci"/>
        </w:rPr>
        <w:t>godine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odnosu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prvo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tromesečje</w:t>
      </w:r>
      <w:r w:rsidRPr="006328A6">
        <w:rPr>
          <w:rFonts w:ascii="Vinci" w:hAnsi="Vinci"/>
        </w:rPr>
        <w:t xml:space="preserve"> 2019. </w:t>
      </w:r>
      <w:r>
        <w:rPr>
          <w:rFonts w:ascii="Vinci" w:hAnsi="Vinci"/>
        </w:rPr>
        <w:t>godine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ukupno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opslu</w:t>
      </w:r>
      <w:r>
        <w:rPr>
          <w:rFonts w:ascii="Vinci" w:hAnsi="Vinci"/>
          <w:lang w:val="sr-Latn-RS"/>
        </w:rPr>
        <w:t>ženo</w:t>
      </w:r>
      <w:r w:rsidRPr="006328A6">
        <w:rPr>
          <w:rFonts w:ascii="Vinci" w:hAnsi="Vinci"/>
        </w:rPr>
        <w:t xml:space="preserve"> 45,3 </w:t>
      </w:r>
      <w:r>
        <w:rPr>
          <w:rFonts w:ascii="Vinci" w:hAnsi="Vinci"/>
        </w:rPr>
        <w:t>miliona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putnika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45 </w:t>
      </w:r>
      <w:r>
        <w:rPr>
          <w:rFonts w:ascii="Vinci" w:hAnsi="Vinci"/>
        </w:rPr>
        <w:t>aerodroma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mreži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</w:rPr>
        <w:t>.</w:t>
      </w:r>
      <w:r w:rsidRPr="006328A6">
        <w:rPr>
          <w:rStyle w:val="FootnoteReference"/>
          <w:rFonts w:ascii="Vinci" w:eastAsia="Vinci Sans" w:hAnsi="Vinci" w:cs="Vinci Sans"/>
        </w:rPr>
        <w:footnoteReference w:id="1"/>
      </w:r>
      <w:r w:rsidRPr="006328A6">
        <w:rPr>
          <w:rFonts w:ascii="Vinci" w:hAnsi="Vinci"/>
        </w:rPr>
        <w:t xml:space="preserve"> </w:t>
      </w:r>
    </w:p>
    <w:p w14:paraId="5316B6ED" w14:textId="77777777" w:rsidR="00174690" w:rsidRPr="006328A6" w:rsidRDefault="00174690" w:rsidP="00174690">
      <w:pPr>
        <w:jc w:val="both"/>
        <w:rPr>
          <w:rFonts w:ascii="Vinci" w:eastAsia="Vinci Sans" w:hAnsi="Vinci" w:cs="Vinci Sans"/>
          <w:lang w:val="en-GB"/>
        </w:rPr>
      </w:pPr>
    </w:p>
    <w:p w14:paraId="2974757F" w14:textId="77777777" w:rsidR="00174690" w:rsidRPr="006328A6" w:rsidRDefault="00174690" w:rsidP="00174690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borbi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protiv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posledica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globalne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zdravstvene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krize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bez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presedana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kompanija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 pokrenula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  <w:lang w:val="sr-Cyrl-RS"/>
        </w:rPr>
        <w:t xml:space="preserve">je </w:t>
      </w:r>
      <w:r>
        <w:rPr>
          <w:rFonts w:ascii="Vinci" w:hAnsi="Vinci"/>
        </w:rPr>
        <w:t>plan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svim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svojim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aerodromima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kako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smanjili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operativni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izdaci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pažljivo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upravljalo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investicijama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uz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poštovanje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ugovornih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zakonskih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obaveza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odluka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vlade</w:t>
      </w:r>
      <w:r w:rsidRPr="006328A6">
        <w:rPr>
          <w:rFonts w:ascii="Vinci" w:hAnsi="Vinci"/>
        </w:rPr>
        <w:t>.</w:t>
      </w:r>
    </w:p>
    <w:p w14:paraId="73CC42FB" w14:textId="77777777" w:rsidR="00174690" w:rsidRPr="006328A6" w:rsidRDefault="00174690" w:rsidP="00174690">
      <w:pPr>
        <w:jc w:val="both"/>
        <w:rPr>
          <w:rFonts w:ascii="Vinci" w:eastAsia="Vinci Sans" w:hAnsi="Vinci" w:cs="Vinci Sans"/>
          <w:lang w:val="en-GB"/>
        </w:rPr>
      </w:pPr>
    </w:p>
    <w:p w14:paraId="7E3279B6" w14:textId="77777777" w:rsidR="00174690" w:rsidRPr="006328A6" w:rsidRDefault="00174690" w:rsidP="00174690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Mreža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veoma</w:t>
      </w:r>
      <w:r>
        <w:rPr>
          <w:rFonts w:ascii="Vinci" w:hAnsi="Vinci"/>
          <w:lang w:val="sr-Cyrl-RS"/>
        </w:rPr>
        <w:t xml:space="preserve"> 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aktivna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procesu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repatrijacije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ljudi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koji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žele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vrate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države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svog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prebivališta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Takođe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kompanija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stavlja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svoju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infrastrukturu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opremu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znanj</w:t>
      </w:r>
      <w:r>
        <w:rPr>
          <w:rFonts w:ascii="Vinci" w:hAnsi="Vinci"/>
          <w:lang w:val="sr-Cyrl-RS"/>
        </w:rPr>
        <w:t>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zaposlenih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raspolaganje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organima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zaduženim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upravljanje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krizom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kao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transport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pacijenata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zaraženih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virusom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COVID</w:t>
      </w:r>
      <w:r w:rsidRPr="006328A6">
        <w:rPr>
          <w:rFonts w:ascii="Vinci" w:hAnsi="Vinci"/>
        </w:rPr>
        <w:t xml:space="preserve">-19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medicinske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opreme</w:t>
      </w:r>
      <w:r w:rsidRPr="006328A6">
        <w:rPr>
          <w:rFonts w:ascii="Vinci" w:hAnsi="Vinci"/>
        </w:rPr>
        <w:t xml:space="preserve">. </w:t>
      </w:r>
      <w:r>
        <w:rPr>
          <w:rFonts w:ascii="Vinci" w:hAnsi="Vinci"/>
        </w:rPr>
        <w:t>Aerodromi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iz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grupe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pokrenuli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  <w:lang w:val="sr-Cyrl-RS"/>
        </w:rPr>
        <w:t xml:space="preserve">su </w:t>
      </w:r>
      <w:r>
        <w:rPr>
          <w:rFonts w:ascii="Vinci" w:hAnsi="Vinci"/>
        </w:rPr>
        <w:t>akcije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solidarnosti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sa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bolnicama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putnicima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u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avio</w:t>
      </w:r>
      <w:r>
        <w:rPr>
          <w:rFonts w:ascii="Vinci" w:hAnsi="Vinci"/>
          <w:lang w:val="sr-Cyrl-RS"/>
        </w:rPr>
        <w:t xml:space="preserve">-saobraćaju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komercijalnim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partnerima</w:t>
      </w:r>
      <w:r w:rsidRPr="006328A6">
        <w:rPr>
          <w:rFonts w:ascii="Vinci" w:hAnsi="Vinci"/>
        </w:rPr>
        <w:t>.</w:t>
      </w:r>
    </w:p>
    <w:p w14:paraId="7DCF3068" w14:textId="4D73CA7D" w:rsidR="00E60242" w:rsidRPr="006328A6" w:rsidRDefault="00E60242" w:rsidP="00E60242">
      <w:pPr>
        <w:jc w:val="both"/>
        <w:rPr>
          <w:rFonts w:ascii="Vinci" w:eastAsia="Vinci Sans" w:hAnsi="Vinci" w:cs="Vinci Sans"/>
          <w:lang w:val="en-GB"/>
        </w:rPr>
      </w:pPr>
    </w:p>
    <w:p w14:paraId="6E2BF0E1" w14:textId="2C48A4EA" w:rsidR="00E06363" w:rsidRDefault="00E06363" w:rsidP="00E60242">
      <w:pPr>
        <w:jc w:val="both"/>
        <w:rPr>
          <w:rFonts w:ascii="Vinci" w:eastAsia="Vinci Sans" w:hAnsi="Vinci" w:cs="Vinci Sans"/>
          <w:lang w:val="en-GB"/>
        </w:rPr>
      </w:pPr>
    </w:p>
    <w:p w14:paraId="79EB8104" w14:textId="5AC178C1" w:rsidR="005E35D7" w:rsidRDefault="005E35D7" w:rsidP="00E60242">
      <w:pPr>
        <w:jc w:val="both"/>
        <w:rPr>
          <w:rFonts w:ascii="Vinci" w:eastAsia="Vinci Sans" w:hAnsi="Vinci" w:cs="Vinci Sans"/>
          <w:lang w:val="en-GB"/>
        </w:rPr>
      </w:pPr>
    </w:p>
    <w:p w14:paraId="1E56CB34" w14:textId="77777777" w:rsidR="00621C63" w:rsidRPr="006328A6" w:rsidRDefault="00621C63" w:rsidP="00621C63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lastRenderedPageBreak/>
        <w:t>Azija</w:t>
      </w:r>
      <w:r w:rsidRPr="006328A6">
        <w:rPr>
          <w:rFonts w:ascii="Vinci" w:hAnsi="Vinci"/>
        </w:rPr>
        <w:t>:</w:t>
      </w:r>
    </w:p>
    <w:p w14:paraId="4B425928" w14:textId="77777777" w:rsidR="005E35D7" w:rsidRPr="006328A6" w:rsidRDefault="005E35D7" w:rsidP="00E60242">
      <w:pPr>
        <w:jc w:val="both"/>
        <w:rPr>
          <w:rFonts w:ascii="Vinci" w:eastAsia="Vinci Sans" w:hAnsi="Vinci" w:cs="Vinci Sans"/>
          <w:lang w:val="en-GB"/>
        </w:rPr>
      </w:pPr>
    </w:p>
    <w:p w14:paraId="51520619" w14:textId="77777777" w:rsidR="00621C63" w:rsidRPr="006328A6" w:rsidRDefault="00621C63" w:rsidP="00621C63">
      <w:pPr>
        <w:jc w:val="both"/>
        <w:rPr>
          <w:rFonts w:ascii="Vinci" w:eastAsia="Vinci Sans" w:hAnsi="Vinci" w:cs="Vinci Sans"/>
          <w:lang w:val="en-GB"/>
        </w:rPr>
      </w:pPr>
    </w:p>
    <w:p w14:paraId="52C0D9F4" w14:textId="77777777" w:rsidR="00621C63" w:rsidRPr="006328A6" w:rsidRDefault="00621C63" w:rsidP="00621C63">
      <w:pPr>
        <w:pStyle w:val="ListParagraph"/>
        <w:numPr>
          <w:ilvl w:val="0"/>
          <w:numId w:val="32"/>
        </w:numPr>
        <w:jc w:val="both"/>
        <w:rPr>
          <w:rFonts w:ascii="Vinci" w:eastAsia="Vinci Sans" w:hAnsi="Vinci" w:cs="Vinci Sans"/>
          <w:sz w:val="22"/>
          <w:szCs w:val="22"/>
        </w:rPr>
      </w:pP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b/>
          <w:sz w:val="22"/>
          <w:szCs w:val="22"/>
        </w:rPr>
        <w:t>Japanu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desio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oštar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pad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saobraćaja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Kinom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januaru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</w:rPr>
        <w:t>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potom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Južnom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Korejom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februaru</w:t>
      </w:r>
      <w:r w:rsidRPr="006328A6">
        <w:rPr>
          <w:rFonts w:ascii="Vinci" w:hAnsi="Vinci"/>
          <w:sz w:val="22"/>
          <w:szCs w:val="22"/>
        </w:rPr>
        <w:t xml:space="preserve">. </w:t>
      </w:r>
      <w:r>
        <w:rPr>
          <w:rFonts w:ascii="Vinci" w:hAnsi="Vinci"/>
          <w:sz w:val="22"/>
          <w:szCs w:val="22"/>
        </w:rPr>
        <w:t>Tokom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celog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prvog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tromesečja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</w:rPr>
        <w:t>broj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tri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regiji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Kansai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smanj</w:t>
      </w:r>
      <w:r>
        <w:rPr>
          <w:rFonts w:ascii="Vinci" w:hAnsi="Vinci"/>
          <w:sz w:val="22"/>
          <w:szCs w:val="22"/>
          <w:lang w:val="sr-Cyrl-RS"/>
        </w:rPr>
        <w:t xml:space="preserve">en je </w:t>
      </w:r>
      <w:r>
        <w:rPr>
          <w:rFonts w:ascii="Vinci" w:hAnsi="Vinci"/>
          <w:sz w:val="22"/>
          <w:szCs w:val="22"/>
        </w:rPr>
        <w:t>za</w:t>
      </w:r>
      <w:r w:rsidRPr="006328A6">
        <w:rPr>
          <w:rFonts w:ascii="Vinci" w:hAnsi="Vinci"/>
          <w:sz w:val="22"/>
          <w:szCs w:val="22"/>
        </w:rPr>
        <w:t xml:space="preserve"> 31%. </w:t>
      </w:r>
      <w:r>
        <w:rPr>
          <w:rFonts w:ascii="Vinci" w:hAnsi="Vinci"/>
          <w:sz w:val="22"/>
          <w:szCs w:val="22"/>
        </w:rPr>
        <w:t>Broj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uspešnije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 xml:space="preserve">je održan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aerodromima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Osaka</w:t>
      </w:r>
      <w:r w:rsidRPr="006328A6">
        <w:rPr>
          <w:rFonts w:ascii="Vinci" w:hAnsi="Vinci"/>
          <w:sz w:val="22"/>
          <w:szCs w:val="22"/>
        </w:rPr>
        <w:t>-</w:t>
      </w:r>
      <w:r>
        <w:rPr>
          <w:rFonts w:ascii="Vinci" w:hAnsi="Vinci"/>
          <w:sz w:val="22"/>
          <w:szCs w:val="22"/>
        </w:rPr>
        <w:t>Itami</w:t>
      </w:r>
      <w:r w:rsidRPr="006328A6">
        <w:rPr>
          <w:rFonts w:ascii="Vinci" w:hAnsi="Vinci"/>
          <w:sz w:val="22"/>
          <w:szCs w:val="22"/>
        </w:rPr>
        <w:t xml:space="preserve"> (</w:t>
      </w:r>
      <w:r>
        <w:rPr>
          <w:rFonts w:ascii="Vinci" w:hAnsi="Vinci"/>
          <w:sz w:val="22"/>
          <w:szCs w:val="22"/>
        </w:rPr>
        <w:t>pad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od</w:t>
      </w:r>
      <w:r w:rsidRPr="006328A6">
        <w:rPr>
          <w:rFonts w:ascii="Vinci" w:hAnsi="Vinci"/>
          <w:sz w:val="22"/>
          <w:szCs w:val="22"/>
        </w:rPr>
        <w:t xml:space="preserve"> 18,2%) </w:t>
      </w:r>
      <w:r>
        <w:rPr>
          <w:rFonts w:ascii="Vinci" w:hAnsi="Vinci"/>
          <w:sz w:val="22"/>
          <w:szCs w:val="22"/>
        </w:rPr>
        <w:t>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Kobe</w:t>
      </w:r>
      <w:r w:rsidRPr="006328A6">
        <w:rPr>
          <w:rFonts w:ascii="Vinci" w:hAnsi="Vinci"/>
          <w:sz w:val="22"/>
          <w:szCs w:val="22"/>
        </w:rPr>
        <w:t xml:space="preserve"> (</w:t>
      </w:r>
      <w:r>
        <w:rPr>
          <w:rFonts w:ascii="Vinci" w:hAnsi="Vinci"/>
          <w:sz w:val="22"/>
          <w:szCs w:val="22"/>
        </w:rPr>
        <w:t>pad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od</w:t>
      </w:r>
      <w:r w:rsidRPr="006328A6">
        <w:rPr>
          <w:rFonts w:ascii="Vinci" w:hAnsi="Vinci"/>
          <w:sz w:val="22"/>
          <w:szCs w:val="22"/>
        </w:rPr>
        <w:t xml:space="preserve"> 9,0%) </w:t>
      </w:r>
      <w:r>
        <w:rPr>
          <w:rFonts w:ascii="Vinci" w:hAnsi="Vinci"/>
          <w:sz w:val="22"/>
          <w:szCs w:val="22"/>
        </w:rPr>
        <w:t>usled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domaće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potražnje</w:t>
      </w:r>
      <w:r w:rsidRPr="006328A6">
        <w:rPr>
          <w:rFonts w:ascii="Vinci" w:hAnsi="Vinci"/>
          <w:sz w:val="22"/>
          <w:szCs w:val="22"/>
        </w:rPr>
        <w:t>.</w:t>
      </w:r>
    </w:p>
    <w:p w14:paraId="4B763C8F" w14:textId="77777777" w:rsidR="00621C63" w:rsidRPr="006328A6" w:rsidRDefault="00621C63" w:rsidP="00621C63">
      <w:pPr>
        <w:pStyle w:val="ListParagraph"/>
        <w:jc w:val="both"/>
        <w:rPr>
          <w:rFonts w:ascii="Vinci" w:eastAsia="Vinci Sans" w:hAnsi="Vinci" w:cs="Vinci Sans"/>
          <w:sz w:val="22"/>
          <w:szCs w:val="22"/>
          <w:lang w:val="en-GB"/>
        </w:rPr>
      </w:pPr>
    </w:p>
    <w:p w14:paraId="11FE0867" w14:textId="77777777" w:rsidR="00621C63" w:rsidRPr="006328A6" w:rsidRDefault="00621C63" w:rsidP="00621C63">
      <w:pPr>
        <w:pStyle w:val="ListParagraph"/>
        <w:numPr>
          <w:ilvl w:val="0"/>
          <w:numId w:val="32"/>
        </w:numPr>
        <w:jc w:val="both"/>
        <w:rPr>
          <w:rFonts w:ascii="Vinci" w:eastAsia="Vinci Sans" w:hAnsi="Vinci" w:cs="Vinci Sans"/>
          <w:sz w:val="22"/>
          <w:szCs w:val="22"/>
        </w:rPr>
      </w:pP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b/>
          <w:sz w:val="22"/>
          <w:szCs w:val="22"/>
        </w:rPr>
        <w:t>Kambodži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broj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tri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iz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grupe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smanjio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za</w:t>
      </w:r>
      <w:r w:rsidRPr="006328A6">
        <w:rPr>
          <w:rFonts w:ascii="Vinci" w:hAnsi="Vinci"/>
          <w:sz w:val="22"/>
          <w:szCs w:val="22"/>
        </w:rPr>
        <w:t xml:space="preserve"> 41,5% </w:t>
      </w:r>
      <w:r>
        <w:rPr>
          <w:rFonts w:ascii="Vinci" w:hAnsi="Vinci"/>
          <w:sz w:val="22"/>
          <w:szCs w:val="22"/>
        </w:rPr>
        <w:t>tokom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prvog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tromesečja</w:t>
      </w:r>
      <w:r w:rsidRPr="006328A6">
        <w:rPr>
          <w:rFonts w:ascii="Vinci" w:hAnsi="Vinci"/>
          <w:sz w:val="22"/>
          <w:szCs w:val="22"/>
        </w:rPr>
        <w:t xml:space="preserve">. </w:t>
      </w:r>
      <w:r>
        <w:rPr>
          <w:rFonts w:ascii="Vinci" w:hAnsi="Vinci" w:hint="eastAsia"/>
          <w:sz w:val="22"/>
          <w:szCs w:val="22"/>
          <w:lang w:val="sr-Cyrl-RS"/>
        </w:rPr>
        <w:t>S</w:t>
      </w:r>
      <w:r>
        <w:rPr>
          <w:rFonts w:ascii="Vinci" w:hAnsi="Vinci"/>
          <w:sz w:val="22"/>
          <w:szCs w:val="22"/>
          <w:lang w:val="sr-Cyrl-RS"/>
        </w:rPr>
        <w:t xml:space="preserve">manjenje broja putnika značajnije je primetno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</w:t>
      </w:r>
      <w:r>
        <w:rPr>
          <w:rFonts w:ascii="Vinci" w:hAnsi="Vinci"/>
          <w:sz w:val="22"/>
          <w:szCs w:val="22"/>
          <w:lang w:val="sr-Cyrl-RS"/>
        </w:rPr>
        <w:t>ima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Siem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Reap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Sihanukvil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kojima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broj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značajnije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zavisi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potražnje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iz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Kine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</w:rPr>
        <w:t>nego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Pnom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Pen</w:t>
      </w:r>
      <w:r w:rsidRPr="006328A6">
        <w:rPr>
          <w:rFonts w:ascii="Vinci" w:hAnsi="Vinci"/>
          <w:sz w:val="22"/>
          <w:szCs w:val="22"/>
        </w:rPr>
        <w:t>.</w:t>
      </w:r>
    </w:p>
    <w:p w14:paraId="599511B6" w14:textId="77777777" w:rsidR="00621C63" w:rsidRPr="006328A6" w:rsidRDefault="00621C63" w:rsidP="00621C63">
      <w:pPr>
        <w:pStyle w:val="ListParagraph"/>
        <w:rPr>
          <w:rFonts w:ascii="Vinci" w:eastAsia="Vinci Sans" w:hAnsi="Vinci" w:cs="Vinci Sans"/>
          <w:sz w:val="22"/>
          <w:szCs w:val="22"/>
          <w:lang w:val="en-GB"/>
        </w:rPr>
      </w:pPr>
    </w:p>
    <w:p w14:paraId="46D55918" w14:textId="77777777" w:rsidR="00621C63" w:rsidRPr="006328A6" w:rsidRDefault="00621C63" w:rsidP="00621C63">
      <w:pPr>
        <w:jc w:val="both"/>
        <w:rPr>
          <w:rFonts w:ascii="Vinci" w:eastAsia="Vinci Sans" w:hAnsi="Vinci" w:cs="Vinci Sans"/>
          <w:lang w:val="en-GB"/>
        </w:rPr>
      </w:pPr>
    </w:p>
    <w:p w14:paraId="01C7CFBB" w14:textId="77777777" w:rsidR="00621C63" w:rsidRPr="006328A6" w:rsidRDefault="00621C63" w:rsidP="00621C63">
      <w:pPr>
        <w:jc w:val="both"/>
        <w:rPr>
          <w:rFonts w:ascii="Vinci" w:eastAsia="Vinci Sans" w:hAnsi="Vinci" w:cs="Vinci Sans"/>
          <w:lang w:val="en-GB"/>
        </w:rPr>
      </w:pPr>
    </w:p>
    <w:p w14:paraId="6978DC86" w14:textId="77777777" w:rsidR="00621C63" w:rsidRPr="006328A6" w:rsidRDefault="00621C63" w:rsidP="00621C63">
      <w:pPr>
        <w:jc w:val="both"/>
        <w:rPr>
          <w:rFonts w:ascii="Vinci" w:eastAsia="Vinci Sans" w:hAnsi="Vinci" w:cs="Vinci Sans"/>
          <w:lang w:val="en-GB"/>
        </w:rPr>
      </w:pPr>
    </w:p>
    <w:p w14:paraId="5CB0E53C" w14:textId="77777777" w:rsidR="00621C63" w:rsidRPr="006328A6" w:rsidRDefault="00621C63" w:rsidP="00621C63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Evropa</w:t>
      </w:r>
      <w:r w:rsidRPr="006328A6">
        <w:rPr>
          <w:rFonts w:ascii="Vinci" w:hAnsi="Vinci"/>
        </w:rPr>
        <w:t>:</w:t>
      </w:r>
    </w:p>
    <w:p w14:paraId="09571680" w14:textId="77777777" w:rsidR="00621C63" w:rsidRPr="006328A6" w:rsidRDefault="00621C63" w:rsidP="00621C63">
      <w:pPr>
        <w:jc w:val="both"/>
        <w:rPr>
          <w:rFonts w:ascii="Vinci" w:eastAsia="Vinci Sans" w:hAnsi="Vinci" w:cs="Vinci Sans"/>
          <w:lang w:val="en-GB"/>
        </w:rPr>
      </w:pPr>
    </w:p>
    <w:p w14:paraId="6D06EEF5" w14:textId="77777777" w:rsidR="00621C63" w:rsidRPr="006328A6" w:rsidRDefault="00621C63" w:rsidP="00621C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hAnsi="Vinci"/>
          <w:color w:val="000000"/>
          <w:sz w:val="22"/>
          <w:szCs w:val="22"/>
        </w:rPr>
      </w:pPr>
      <w:r>
        <w:rPr>
          <w:rFonts w:ascii="Vinci" w:hAnsi="Vinci"/>
          <w:color w:val="000000"/>
          <w:sz w:val="22"/>
          <w:szCs w:val="22"/>
        </w:rPr>
        <w:t>Nakon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rasta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6,9%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januaru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i</w:t>
      </w:r>
      <w:r w:rsidRPr="006328A6">
        <w:rPr>
          <w:rFonts w:ascii="Vinci" w:hAnsi="Vinci"/>
          <w:color w:val="000000"/>
          <w:sz w:val="22"/>
          <w:szCs w:val="22"/>
        </w:rPr>
        <w:t xml:space="preserve"> 10,1%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februaru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desio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oštar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pad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broja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putnika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10 </w:t>
      </w:r>
      <w:r>
        <w:rPr>
          <w:rFonts w:ascii="Vinci" w:hAnsi="Vinci"/>
          <w:color w:val="000000"/>
          <w:sz w:val="22"/>
          <w:szCs w:val="22"/>
        </w:rPr>
        <w:t>aerodroma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b/>
          <w:color w:val="000000"/>
          <w:sz w:val="22"/>
          <w:szCs w:val="22"/>
        </w:rPr>
        <w:t>Portugaliji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15. </w:t>
      </w:r>
      <w:r>
        <w:rPr>
          <w:rFonts w:ascii="Vinci" w:hAnsi="Vinci"/>
          <w:color w:val="000000"/>
          <w:sz w:val="22"/>
          <w:szCs w:val="22"/>
        </w:rPr>
        <w:t>marta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da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tokom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celokupnog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prvog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tromesečja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bio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zabeležen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pad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15,3%. </w:t>
      </w:r>
      <w:r>
        <w:rPr>
          <w:rFonts w:ascii="Vinci" w:hAnsi="Vinci"/>
          <w:color w:val="000000"/>
          <w:sz w:val="22"/>
          <w:szCs w:val="22"/>
        </w:rPr>
        <w:t>Zbog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raznovrsnosti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saobraćaja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Lisabonu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broj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putnika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bio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stabilniji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nego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aerodromu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Faro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koji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direktno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pogođen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padom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turističkom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tržištu</w:t>
      </w:r>
      <w:r w:rsidRPr="006328A6">
        <w:rPr>
          <w:rFonts w:ascii="Vinci" w:hAnsi="Vinci"/>
          <w:color w:val="000000"/>
          <w:sz w:val="22"/>
          <w:szCs w:val="22"/>
        </w:rPr>
        <w:t>.</w:t>
      </w:r>
    </w:p>
    <w:p w14:paraId="3E0A31A1" w14:textId="77777777" w:rsidR="00621C63" w:rsidRPr="006328A6" w:rsidRDefault="00621C63" w:rsidP="00621C63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hAnsi="Vinci"/>
          <w:color w:val="000000"/>
          <w:sz w:val="22"/>
          <w:szCs w:val="22"/>
          <w:lang w:val="en-GB"/>
        </w:rPr>
      </w:pPr>
    </w:p>
    <w:p w14:paraId="281EB472" w14:textId="77777777" w:rsidR="00621C63" w:rsidRPr="006328A6" w:rsidRDefault="00621C63" w:rsidP="00621C63">
      <w:pPr>
        <w:pStyle w:val="ListParagraph"/>
        <w:numPr>
          <w:ilvl w:val="0"/>
          <w:numId w:val="31"/>
        </w:numPr>
        <w:jc w:val="both"/>
        <w:rPr>
          <w:rFonts w:ascii="Vinci" w:eastAsia="Vinci Sans" w:hAnsi="Vinci" w:cs="Vinci Sans"/>
          <w:sz w:val="22"/>
          <w:szCs w:val="22"/>
        </w:rPr>
      </w:pP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b/>
          <w:sz w:val="22"/>
          <w:szCs w:val="22"/>
        </w:rPr>
        <w:t>Ujedinjenom</w:t>
      </w:r>
      <w:r w:rsidRPr="006328A6">
        <w:rPr>
          <w:rFonts w:ascii="Vinci" w:hAnsi="Vinci"/>
          <w:b/>
          <w:sz w:val="22"/>
          <w:szCs w:val="22"/>
        </w:rPr>
        <w:t xml:space="preserve"> </w:t>
      </w:r>
      <w:r>
        <w:rPr>
          <w:rFonts w:ascii="Vinci" w:hAnsi="Vinci"/>
          <w:b/>
          <w:sz w:val="22"/>
          <w:szCs w:val="22"/>
        </w:rPr>
        <w:t>Kraljevstvu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  <w:lang w:val="sr-Cyrl-RS"/>
        </w:rPr>
        <w:t xml:space="preserve">na </w:t>
      </w:r>
      <w:r>
        <w:rPr>
          <w:rFonts w:ascii="Vinci" w:hAnsi="Vinci"/>
          <w:sz w:val="22"/>
          <w:szCs w:val="22"/>
        </w:rPr>
        <w:t>aerodrom</w:t>
      </w:r>
      <w:r>
        <w:rPr>
          <w:rFonts w:ascii="Vinci" w:hAnsi="Vinci"/>
          <w:sz w:val="22"/>
          <w:szCs w:val="22"/>
          <w:lang w:val="sr-Cyrl-RS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London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>Getvik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 xml:space="preserve">zabeležno je </w:t>
      </w:r>
      <w:r>
        <w:rPr>
          <w:rFonts w:ascii="Vinci" w:hAnsi="Vinci"/>
          <w:sz w:val="22"/>
          <w:szCs w:val="22"/>
        </w:rPr>
        <w:t>smanjenje</w:t>
      </w:r>
      <w:r>
        <w:rPr>
          <w:rFonts w:ascii="Vinci" w:hAnsi="Vinci"/>
          <w:sz w:val="22"/>
          <w:szCs w:val="22"/>
          <w:lang w:val="sr-Cyrl-RS"/>
        </w:rPr>
        <w:t xml:space="preserve"> broja 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od</w:t>
      </w:r>
      <w:r w:rsidRPr="006328A6">
        <w:rPr>
          <w:rFonts w:ascii="Vinci" w:hAnsi="Vinci"/>
          <w:sz w:val="22"/>
          <w:szCs w:val="22"/>
        </w:rPr>
        <w:t xml:space="preserve"> 22,5% </w:t>
      </w: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prvom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kvartalu</w:t>
      </w:r>
      <w:r w:rsidRPr="006328A6">
        <w:rPr>
          <w:rFonts w:ascii="Vinci" w:hAnsi="Vinci"/>
          <w:sz w:val="22"/>
          <w:szCs w:val="22"/>
        </w:rPr>
        <w:t xml:space="preserve"> 2020. </w:t>
      </w:r>
      <w:r>
        <w:rPr>
          <w:rFonts w:ascii="Vinci" w:hAnsi="Vinci"/>
          <w:sz w:val="22"/>
          <w:szCs w:val="22"/>
        </w:rPr>
        <w:t>godine</w:t>
      </w:r>
      <w:r w:rsidRPr="006328A6">
        <w:rPr>
          <w:rFonts w:ascii="Vinci" w:hAnsi="Vinci"/>
          <w:sz w:val="22"/>
          <w:szCs w:val="22"/>
        </w:rPr>
        <w:t xml:space="preserve">. </w:t>
      </w:r>
      <w:r>
        <w:rPr>
          <w:rFonts w:ascii="Vinci" w:hAnsi="Vinci"/>
          <w:sz w:val="22"/>
          <w:szCs w:val="22"/>
        </w:rPr>
        <w:t>Nakon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</w:t>
      </w:r>
      <w:r>
        <w:rPr>
          <w:rFonts w:ascii="Vinci" w:hAnsi="Vinci"/>
          <w:sz w:val="22"/>
          <w:szCs w:val="22"/>
          <w:lang w:val="sr-Cyrl-RS"/>
        </w:rPr>
        <w:t xml:space="preserve">ticaja </w:t>
      </w:r>
      <w:r>
        <w:rPr>
          <w:rFonts w:ascii="Vinci" w:hAnsi="Vinci"/>
          <w:sz w:val="22"/>
          <w:szCs w:val="22"/>
        </w:rPr>
        <w:t>oluj</w:t>
      </w:r>
      <w:r>
        <w:rPr>
          <w:rFonts w:ascii="Vinci" w:hAnsi="Vinci"/>
          <w:sz w:val="22"/>
          <w:szCs w:val="22"/>
          <w:lang w:val="sr-Cyrl-RS"/>
        </w:rPr>
        <w:t>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Kjara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 xml:space="preserve">pad </w:t>
      </w:r>
      <w:r>
        <w:rPr>
          <w:rFonts w:ascii="Vinci" w:hAnsi="Vinci"/>
          <w:sz w:val="22"/>
          <w:szCs w:val="22"/>
        </w:rPr>
        <w:t>broj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februaru</w:t>
      </w:r>
      <w:r w:rsidRPr="006328A6">
        <w:rPr>
          <w:rFonts w:ascii="Vinci" w:hAnsi="Vinci"/>
          <w:sz w:val="22"/>
          <w:szCs w:val="22"/>
        </w:rPr>
        <w:t xml:space="preserve"> (</w:t>
      </w:r>
      <w:r>
        <w:rPr>
          <w:rFonts w:ascii="Vinci" w:hAnsi="Vinci"/>
          <w:sz w:val="22"/>
          <w:szCs w:val="22"/>
        </w:rPr>
        <w:t>preko</w:t>
      </w:r>
      <w:r w:rsidRPr="006328A6">
        <w:rPr>
          <w:rFonts w:ascii="Vinci" w:hAnsi="Vinci"/>
          <w:sz w:val="22"/>
          <w:szCs w:val="22"/>
        </w:rPr>
        <w:t xml:space="preserve"> 400 </w:t>
      </w:r>
      <w:r>
        <w:rPr>
          <w:rFonts w:ascii="Vinci" w:hAnsi="Vinci"/>
          <w:sz w:val="22"/>
          <w:szCs w:val="22"/>
        </w:rPr>
        <w:t>letova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otkazano</w:t>
      </w:r>
      <w:r w:rsidRPr="006328A6">
        <w:rPr>
          <w:rFonts w:ascii="Vinci" w:hAnsi="Vinci"/>
          <w:sz w:val="22"/>
          <w:szCs w:val="22"/>
        </w:rPr>
        <w:t xml:space="preserve"> 9. </w:t>
      </w:r>
      <w:r>
        <w:rPr>
          <w:rFonts w:ascii="Vinci" w:hAnsi="Vinci"/>
          <w:sz w:val="22"/>
          <w:szCs w:val="22"/>
        </w:rPr>
        <w:t>februara</w:t>
      </w:r>
      <w:r w:rsidRPr="006328A6">
        <w:rPr>
          <w:rFonts w:ascii="Vinci" w:hAnsi="Vinci"/>
          <w:sz w:val="22"/>
          <w:szCs w:val="22"/>
        </w:rPr>
        <w:t xml:space="preserve">), </w:t>
      </w:r>
      <w:r>
        <w:rPr>
          <w:rFonts w:ascii="Vinci" w:hAnsi="Vinci"/>
          <w:sz w:val="22"/>
          <w:szCs w:val="22"/>
        </w:rPr>
        <w:t>Denis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Jorge</w:t>
      </w:r>
      <w:r w:rsidRPr="006328A6">
        <w:rPr>
          <w:rFonts w:ascii="Vinci" w:hAnsi="Vinci"/>
          <w:sz w:val="22"/>
          <w:szCs w:val="22"/>
        </w:rPr>
        <w:t xml:space="preserve">, </w:t>
      </w:r>
      <w:r>
        <w:rPr>
          <w:rFonts w:ascii="Vinci" w:hAnsi="Vinci"/>
          <w:sz w:val="22"/>
          <w:szCs w:val="22"/>
        </w:rPr>
        <w:t>prvi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efekti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zdravstvene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krize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javili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se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istog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meseca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sa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>obustavom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 xml:space="preserve">letova ka </w:t>
      </w:r>
      <w:r>
        <w:rPr>
          <w:rFonts w:ascii="Vinci" w:hAnsi="Vinci"/>
          <w:sz w:val="22"/>
          <w:szCs w:val="22"/>
        </w:rPr>
        <w:t>severno</w:t>
      </w:r>
      <w:r>
        <w:rPr>
          <w:rFonts w:ascii="Vinci" w:hAnsi="Vinci"/>
          <w:sz w:val="22"/>
          <w:szCs w:val="22"/>
          <w:lang w:val="sr-Cyrl-RS"/>
        </w:rPr>
        <w:t>j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Italij</w:t>
      </w:r>
      <w:r>
        <w:rPr>
          <w:rFonts w:ascii="Vinci" w:hAnsi="Vinci"/>
          <w:sz w:val="22"/>
          <w:szCs w:val="22"/>
          <w:lang w:val="sr-Cyrl-RS"/>
        </w:rPr>
        <w:t>i</w:t>
      </w:r>
      <w:r w:rsidRPr="006328A6">
        <w:rPr>
          <w:rFonts w:ascii="Vinci" w:hAnsi="Vinci"/>
          <w:sz w:val="22"/>
          <w:szCs w:val="22"/>
        </w:rPr>
        <w:t xml:space="preserve">. </w:t>
      </w:r>
      <w:r>
        <w:rPr>
          <w:rFonts w:ascii="Vinci" w:hAnsi="Vinci"/>
          <w:sz w:val="22"/>
          <w:szCs w:val="22"/>
        </w:rPr>
        <w:t>Na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međunarodnom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aerodromu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Belfast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  <w:lang w:val="sr-Cyrl-RS"/>
        </w:rPr>
        <w:t xml:space="preserve">zabeležen je </w:t>
      </w:r>
      <w:r>
        <w:rPr>
          <w:rFonts w:ascii="Vinci" w:hAnsi="Vinci"/>
          <w:sz w:val="22"/>
          <w:szCs w:val="22"/>
        </w:rPr>
        <w:t>sličan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pad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broja</w:t>
      </w:r>
      <w:r w:rsidRPr="006328A6">
        <w:rPr>
          <w:rFonts w:ascii="Vinci" w:hAnsi="Vinci"/>
          <w:sz w:val="22"/>
          <w:szCs w:val="22"/>
        </w:rPr>
        <w:t xml:space="preserve"> </w:t>
      </w:r>
      <w:r>
        <w:rPr>
          <w:rFonts w:ascii="Vinci" w:hAnsi="Vinci"/>
          <w:sz w:val="22"/>
          <w:szCs w:val="22"/>
        </w:rPr>
        <w:t>putnika</w:t>
      </w:r>
      <w:r w:rsidRPr="006328A6">
        <w:rPr>
          <w:rFonts w:ascii="Vinci" w:hAnsi="Vinci"/>
          <w:sz w:val="22"/>
          <w:szCs w:val="22"/>
        </w:rPr>
        <w:t>.</w:t>
      </w:r>
    </w:p>
    <w:p w14:paraId="3CFD53C7" w14:textId="77777777" w:rsidR="00621C63" w:rsidRPr="006328A6" w:rsidRDefault="00621C63" w:rsidP="00621C63">
      <w:pPr>
        <w:pStyle w:val="ListParagraph"/>
        <w:jc w:val="both"/>
        <w:rPr>
          <w:rFonts w:ascii="Vinci" w:eastAsia="Vinci Sans" w:hAnsi="Vinci" w:cs="Vinci Sans"/>
          <w:sz w:val="22"/>
          <w:szCs w:val="22"/>
          <w:lang w:val="en-GB"/>
        </w:rPr>
      </w:pPr>
    </w:p>
    <w:p w14:paraId="5D83D561" w14:textId="77777777" w:rsidR="00621C63" w:rsidRPr="006328A6" w:rsidRDefault="00621C63" w:rsidP="00621C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color w:val="000000"/>
          <w:sz w:val="22"/>
          <w:szCs w:val="22"/>
        </w:rPr>
      </w:pPr>
      <w:r>
        <w:rPr>
          <w:rFonts w:ascii="Vinci" w:hAnsi="Vinci"/>
          <w:color w:val="000000"/>
          <w:sz w:val="22"/>
          <w:szCs w:val="22"/>
        </w:rPr>
        <w:t>Saobraćaj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aerodromima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kojima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upravlja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kompanija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</w:rPr>
        <w:t>VINCI Airports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b/>
          <w:color w:val="000000"/>
          <w:sz w:val="22"/>
          <w:szCs w:val="22"/>
        </w:rPr>
        <w:t>Francuskoj</w:t>
      </w:r>
      <w:r w:rsidRPr="006328A6">
        <w:rPr>
          <w:rFonts w:ascii="Vinci" w:hAnsi="Vinci"/>
          <w:b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opao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je </w:t>
      </w:r>
      <w:r>
        <w:rPr>
          <w:rFonts w:ascii="Vinci" w:hAnsi="Vinci"/>
          <w:color w:val="000000"/>
          <w:sz w:val="22"/>
          <w:szCs w:val="22"/>
        </w:rPr>
        <w:t>za</w:t>
      </w:r>
      <w:r w:rsidRPr="006328A6">
        <w:rPr>
          <w:rFonts w:ascii="Vinci" w:hAnsi="Vinci"/>
          <w:color w:val="000000"/>
          <w:sz w:val="22"/>
          <w:szCs w:val="22"/>
        </w:rPr>
        <w:t xml:space="preserve"> 18,9% </w:t>
      </w:r>
      <w:r>
        <w:rPr>
          <w:rFonts w:ascii="Vinci" w:hAnsi="Vinci"/>
          <w:color w:val="000000"/>
          <w:sz w:val="22"/>
          <w:szCs w:val="22"/>
        </w:rPr>
        <w:t>tokom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prvog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tromesečja</w:t>
      </w:r>
      <w:r w:rsidRPr="006328A6">
        <w:rPr>
          <w:rFonts w:ascii="Vinci" w:hAnsi="Vinci"/>
          <w:color w:val="000000"/>
          <w:sz w:val="22"/>
          <w:szCs w:val="22"/>
        </w:rPr>
        <w:t xml:space="preserve"> 2020. </w:t>
      </w:r>
      <w:r>
        <w:rPr>
          <w:rFonts w:ascii="Vinci" w:hAnsi="Vinci"/>
          <w:color w:val="000000"/>
          <w:sz w:val="22"/>
          <w:szCs w:val="22"/>
        </w:rPr>
        <w:t>godine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uglavnom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usled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uvođenja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mera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sprečavanje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širenja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virusa</w:t>
      </w:r>
      <w:r w:rsidRPr="006328A6">
        <w:rPr>
          <w:rFonts w:ascii="Vinci" w:hAnsi="Vinci"/>
          <w:color w:val="000000"/>
          <w:sz w:val="22"/>
          <w:szCs w:val="22"/>
        </w:rPr>
        <w:t xml:space="preserve"> 17. </w:t>
      </w:r>
      <w:r>
        <w:rPr>
          <w:rFonts w:ascii="Vinci" w:hAnsi="Vinci"/>
          <w:color w:val="000000"/>
          <w:sz w:val="22"/>
          <w:szCs w:val="22"/>
        </w:rPr>
        <w:t>marta</w:t>
      </w:r>
      <w:r w:rsidRPr="006328A6">
        <w:rPr>
          <w:rFonts w:ascii="Vinci" w:hAnsi="Vinci"/>
          <w:color w:val="000000"/>
          <w:sz w:val="22"/>
          <w:szCs w:val="22"/>
        </w:rPr>
        <w:t xml:space="preserve">.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ovim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teškim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okolnostima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smanjenje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saobraćaja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aerodromu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Nant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zaustavljeno </w:t>
      </w:r>
      <w:r>
        <w:rPr>
          <w:rFonts w:ascii="Vinci" w:hAnsi="Vinci"/>
          <w:color w:val="000000"/>
          <w:sz w:val="22"/>
          <w:szCs w:val="22"/>
        </w:rPr>
        <w:t>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10% </w:t>
      </w:r>
      <w:r>
        <w:rPr>
          <w:rFonts w:ascii="Vinci" w:hAnsi="Vinci"/>
          <w:color w:val="000000"/>
          <w:sz w:val="22"/>
          <w:szCs w:val="22"/>
        </w:rPr>
        <w:t>zahvaljujući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snažnom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rastu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zabeleženom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na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početku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godine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usled </w:t>
      </w:r>
      <w:r>
        <w:rPr>
          <w:rFonts w:ascii="Vinci" w:hAnsi="Vinci"/>
          <w:color w:val="000000"/>
          <w:sz w:val="22"/>
          <w:szCs w:val="22"/>
        </w:rPr>
        <w:t>otvaranja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baze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>avio-</w:t>
      </w:r>
      <w:r>
        <w:rPr>
          <w:rFonts w:ascii="Vinci" w:hAnsi="Vinci"/>
          <w:color w:val="000000"/>
          <w:sz w:val="22"/>
          <w:szCs w:val="22"/>
        </w:rPr>
        <w:t>kompanije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Latn-RS"/>
        </w:rPr>
        <w:t xml:space="preserve">easyJet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2019. </w:t>
      </w:r>
      <w:r>
        <w:rPr>
          <w:rFonts w:ascii="Vinci" w:hAnsi="Vinci"/>
          <w:color w:val="000000"/>
          <w:sz w:val="22"/>
          <w:szCs w:val="22"/>
        </w:rPr>
        <w:t>godini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>snažnom rastu broja putnika avio-</w:t>
      </w:r>
      <w:r>
        <w:rPr>
          <w:rFonts w:ascii="Vinci" w:hAnsi="Vinci"/>
          <w:color w:val="000000"/>
          <w:sz w:val="22"/>
          <w:szCs w:val="22"/>
        </w:rPr>
        <w:t>kompanij</w:t>
      </w:r>
      <w:r>
        <w:rPr>
          <w:rFonts w:ascii="Vinci" w:hAnsi="Vinci"/>
          <w:color w:val="000000"/>
          <w:sz w:val="22"/>
          <w:szCs w:val="22"/>
          <w:lang w:val="sr-Cyrl-RS"/>
        </w:rPr>
        <w:t>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Volotea</w:t>
      </w:r>
      <w:r w:rsidRPr="006328A6">
        <w:rPr>
          <w:rFonts w:ascii="Vinci" w:hAnsi="Vinci"/>
          <w:color w:val="000000"/>
          <w:sz w:val="22"/>
          <w:szCs w:val="22"/>
        </w:rPr>
        <w:t xml:space="preserve">. 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Aerodromi u Lionu </w:t>
      </w:r>
      <w:r>
        <w:rPr>
          <w:rFonts w:ascii="Vinci" w:hAnsi="Vinci"/>
          <w:color w:val="000000"/>
          <w:sz w:val="22"/>
          <w:szCs w:val="22"/>
        </w:rPr>
        <w:t>zabelžili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su </w:t>
      </w:r>
      <w:r>
        <w:rPr>
          <w:rFonts w:ascii="Vinci" w:hAnsi="Vinci"/>
          <w:color w:val="000000"/>
          <w:sz w:val="22"/>
          <w:szCs w:val="22"/>
        </w:rPr>
        <w:t>smanjenje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broja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putnika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20,7%.</w:t>
      </w:r>
    </w:p>
    <w:p w14:paraId="259DCD25" w14:textId="77777777" w:rsidR="00621C63" w:rsidRPr="006328A6" w:rsidRDefault="00621C63" w:rsidP="00621C63">
      <w:pPr>
        <w:rPr>
          <w:rFonts w:ascii="Vinci" w:hAnsi="Vinci"/>
        </w:rPr>
      </w:pPr>
      <w:r w:rsidRPr="006328A6">
        <w:rPr>
          <w:rFonts w:ascii="Vinci" w:hAnsi="Vinci"/>
          <w:color w:val="000000"/>
        </w:rPr>
        <w:t xml:space="preserve"> </w:t>
      </w:r>
    </w:p>
    <w:p w14:paraId="31D3D54A" w14:textId="77777777" w:rsidR="00621C63" w:rsidRPr="006328A6" w:rsidRDefault="00621C63" w:rsidP="00621C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color w:val="000000"/>
          <w:sz w:val="22"/>
          <w:szCs w:val="22"/>
        </w:rPr>
      </w:pPr>
      <w:r>
        <w:rPr>
          <w:rFonts w:ascii="Vinci" w:hAnsi="Vinci"/>
          <w:color w:val="000000"/>
          <w:sz w:val="22"/>
          <w:szCs w:val="22"/>
        </w:rPr>
        <w:t>Beogradski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aerodrom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b/>
          <w:color w:val="000000"/>
          <w:sz w:val="22"/>
          <w:szCs w:val="22"/>
        </w:rPr>
        <w:t>Srbiji</w:t>
      </w:r>
      <w:r w:rsidRPr="006328A6">
        <w:rPr>
          <w:rFonts w:ascii="Vinci" w:hAnsi="Vinci"/>
          <w:b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započeo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 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godinu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rastom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broja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putnika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16,1%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januaru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i</w:t>
      </w:r>
      <w:r w:rsidRPr="006328A6">
        <w:rPr>
          <w:rFonts w:ascii="Vinci" w:hAnsi="Vinci"/>
          <w:color w:val="000000"/>
          <w:sz w:val="22"/>
          <w:szCs w:val="22"/>
        </w:rPr>
        <w:t xml:space="preserve"> 13%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februaru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  <w:lang w:val="sr-Cyrl-RS"/>
        </w:rPr>
        <w:t>najviše zahvaljujući mreži m</w:t>
      </w:r>
      <w:r>
        <w:rPr>
          <w:rFonts w:ascii="Vinci" w:hAnsi="Vinci"/>
          <w:color w:val="000000"/>
          <w:sz w:val="22"/>
          <w:szCs w:val="22"/>
        </w:rPr>
        <w:t>eđunarodni</w:t>
      </w:r>
      <w:r>
        <w:rPr>
          <w:rFonts w:ascii="Vinci" w:hAnsi="Vinci"/>
          <w:color w:val="000000"/>
          <w:sz w:val="22"/>
          <w:szCs w:val="22"/>
          <w:lang w:val="sr-Cyrl-RS"/>
        </w:rPr>
        <w:t>h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letov</w:t>
      </w:r>
      <w:r>
        <w:rPr>
          <w:rFonts w:ascii="Vinci" w:hAnsi="Vinci"/>
          <w:color w:val="000000"/>
          <w:sz w:val="22"/>
          <w:szCs w:val="22"/>
          <w:lang w:val="sr-Cyrl-RS"/>
        </w:rPr>
        <w:t>a avio-</w:t>
      </w:r>
      <w:r>
        <w:rPr>
          <w:rFonts w:ascii="Vinci" w:hAnsi="Vinci"/>
          <w:color w:val="000000"/>
          <w:sz w:val="22"/>
          <w:szCs w:val="22"/>
        </w:rPr>
        <w:t>kompanije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Latn-RS"/>
        </w:rPr>
        <w:t>Air Serbia</w:t>
      </w:r>
      <w:r w:rsidRPr="006328A6">
        <w:rPr>
          <w:rFonts w:ascii="Vinci" w:hAnsi="Vinci"/>
          <w:color w:val="000000"/>
          <w:sz w:val="22"/>
          <w:szCs w:val="22"/>
        </w:rPr>
        <w:t xml:space="preserve">. </w:t>
      </w:r>
      <w:r>
        <w:rPr>
          <w:rFonts w:ascii="Vinci" w:hAnsi="Vinci"/>
          <w:color w:val="000000"/>
          <w:sz w:val="22"/>
          <w:szCs w:val="22"/>
        </w:rPr>
        <w:t>Opadanje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broja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putnika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u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martu</w:t>
      </w:r>
      <w:r w:rsidRPr="006328A6">
        <w:rPr>
          <w:rFonts w:ascii="Vinci" w:hAnsi="Vinci"/>
          <w:color w:val="000000"/>
          <w:sz w:val="22"/>
          <w:szCs w:val="22"/>
        </w:rPr>
        <w:t xml:space="preserve">, </w:t>
      </w:r>
      <w:r>
        <w:rPr>
          <w:rFonts w:ascii="Vinci" w:hAnsi="Vinci"/>
          <w:color w:val="000000"/>
          <w:sz w:val="22"/>
          <w:szCs w:val="22"/>
        </w:rPr>
        <w:t>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potom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potpuno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zatvaranje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aerodroma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za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komercijalne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letove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prema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odluci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Vlade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>19</w:t>
      </w:r>
      <w:r w:rsidRPr="006328A6">
        <w:rPr>
          <w:rFonts w:ascii="Vinci" w:hAnsi="Vinci"/>
          <w:color w:val="000000"/>
          <w:sz w:val="22"/>
          <w:szCs w:val="22"/>
        </w:rPr>
        <w:t xml:space="preserve">. </w:t>
      </w:r>
      <w:r>
        <w:rPr>
          <w:rFonts w:ascii="Vinci" w:hAnsi="Vinci"/>
          <w:color w:val="000000"/>
          <w:sz w:val="22"/>
          <w:szCs w:val="22"/>
        </w:rPr>
        <w:t>marta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razlog su </w:t>
      </w:r>
      <w:r>
        <w:rPr>
          <w:rFonts w:ascii="Vinci" w:hAnsi="Vinci"/>
          <w:color w:val="000000"/>
          <w:sz w:val="22"/>
          <w:szCs w:val="22"/>
        </w:rPr>
        <w:t>pad</w:t>
      </w:r>
      <w:r>
        <w:rPr>
          <w:rFonts w:ascii="Vinci" w:hAnsi="Vinci"/>
          <w:color w:val="000000"/>
          <w:sz w:val="22"/>
          <w:szCs w:val="22"/>
          <w:lang w:val="sr-Cyrl-RS"/>
        </w:rPr>
        <w:t xml:space="preserve">a broja putnika </w:t>
      </w:r>
      <w:r>
        <w:rPr>
          <w:rFonts w:ascii="Vinci" w:hAnsi="Vinci"/>
          <w:color w:val="000000"/>
          <w:sz w:val="22"/>
          <w:szCs w:val="22"/>
        </w:rPr>
        <w:t>od</w:t>
      </w:r>
      <w:r w:rsidRPr="006328A6">
        <w:rPr>
          <w:rFonts w:ascii="Vinci" w:hAnsi="Vinci"/>
          <w:color w:val="000000"/>
          <w:sz w:val="22"/>
          <w:szCs w:val="22"/>
        </w:rPr>
        <w:t xml:space="preserve"> 10,8% </w:t>
      </w:r>
      <w:r>
        <w:rPr>
          <w:rFonts w:ascii="Vinci" w:hAnsi="Vinci"/>
          <w:color w:val="000000"/>
          <w:sz w:val="22"/>
          <w:szCs w:val="22"/>
        </w:rPr>
        <w:t>tokom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celokupnog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prvog</w:t>
      </w:r>
      <w:r w:rsidRPr="006328A6">
        <w:rPr>
          <w:rFonts w:ascii="Vinci" w:hAnsi="Vinci"/>
          <w:color w:val="000000"/>
          <w:sz w:val="22"/>
          <w:szCs w:val="22"/>
        </w:rPr>
        <w:t xml:space="preserve"> </w:t>
      </w:r>
      <w:r>
        <w:rPr>
          <w:rFonts w:ascii="Vinci" w:hAnsi="Vinci"/>
          <w:color w:val="000000"/>
          <w:sz w:val="22"/>
          <w:szCs w:val="22"/>
        </w:rPr>
        <w:t>tromesečja</w:t>
      </w:r>
      <w:r w:rsidRPr="006328A6">
        <w:rPr>
          <w:rFonts w:ascii="Vinci" w:hAnsi="Vinci"/>
          <w:color w:val="000000"/>
          <w:sz w:val="22"/>
          <w:szCs w:val="22"/>
        </w:rPr>
        <w:t>.</w:t>
      </w:r>
    </w:p>
    <w:p w14:paraId="55E16BDC" w14:textId="77777777" w:rsidR="00911E06" w:rsidRPr="006328A6" w:rsidRDefault="00911E06" w:rsidP="00911E06">
      <w:pPr>
        <w:pStyle w:val="ListParagraph"/>
        <w:rPr>
          <w:rFonts w:ascii="Vinci" w:eastAsia="Vinci Sans" w:hAnsi="Vinci" w:cs="Vinci Sans"/>
          <w:color w:val="000000"/>
          <w:sz w:val="22"/>
          <w:szCs w:val="22"/>
          <w:lang w:val="en-GB"/>
        </w:rPr>
      </w:pPr>
    </w:p>
    <w:p w14:paraId="6DFA1C90" w14:textId="77777777" w:rsidR="00E06363" w:rsidRPr="006328A6" w:rsidRDefault="00E06363" w:rsidP="00E60242">
      <w:pPr>
        <w:spacing w:after="160" w:line="259" w:lineRule="auto"/>
        <w:rPr>
          <w:rFonts w:ascii="Vinci" w:eastAsia="Vinci Sans" w:hAnsi="Vinci" w:cs="Vinci Sans"/>
          <w:lang w:val="en-GB"/>
        </w:rPr>
      </w:pPr>
    </w:p>
    <w:p w14:paraId="3AE43CAE" w14:textId="77777777" w:rsidR="00FF43E4" w:rsidRPr="006328A6" w:rsidRDefault="00FF43E4" w:rsidP="00E60242">
      <w:pPr>
        <w:spacing w:after="160" w:line="259" w:lineRule="auto"/>
        <w:rPr>
          <w:rFonts w:ascii="Vinci" w:eastAsia="Vinci Sans" w:hAnsi="Vinci" w:cs="Vinci Sans"/>
          <w:lang w:val="en-GB"/>
        </w:rPr>
      </w:pPr>
    </w:p>
    <w:p w14:paraId="61E48A3B" w14:textId="77777777" w:rsidR="00AD47E9" w:rsidRPr="006328A6" w:rsidRDefault="00AD47E9" w:rsidP="00AD47E9">
      <w:pPr>
        <w:jc w:val="both"/>
        <w:rPr>
          <w:rFonts w:ascii="Vinci" w:eastAsia="Vinci Sans" w:hAnsi="Vinci" w:cs="Vinci Sans"/>
        </w:rPr>
      </w:pPr>
      <w:r>
        <w:rPr>
          <w:rFonts w:ascii="Vinci" w:hAnsi="Vinci"/>
        </w:rPr>
        <w:t>Severna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Južna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Amerika</w:t>
      </w:r>
      <w:r w:rsidRPr="006328A6">
        <w:rPr>
          <w:rFonts w:ascii="Vinci" w:hAnsi="Vinci"/>
        </w:rPr>
        <w:t>:</w:t>
      </w:r>
    </w:p>
    <w:p w14:paraId="1797D633" w14:textId="77777777" w:rsidR="00AD47E9" w:rsidRPr="006328A6" w:rsidRDefault="00AD47E9" w:rsidP="00AD47E9">
      <w:pPr>
        <w:jc w:val="both"/>
        <w:rPr>
          <w:rFonts w:ascii="Vinci" w:eastAsia="Vinci Sans" w:hAnsi="Vinci" w:cs="Vinci Sans"/>
          <w:lang w:val="en-GB"/>
        </w:rPr>
      </w:pPr>
    </w:p>
    <w:p w14:paraId="3701110F" w14:textId="77777777" w:rsidR="00AD47E9" w:rsidRPr="006328A6" w:rsidRDefault="00AD47E9" w:rsidP="00AD47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hAnsi="Vinci"/>
          <w:color w:val="000000"/>
        </w:rPr>
      </w:pP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b/>
          <w:color w:val="000000"/>
        </w:rPr>
        <w:t>Dominikanskoj</w:t>
      </w:r>
      <w:r w:rsidRPr="006328A6">
        <w:rPr>
          <w:rFonts w:ascii="Vinci" w:hAnsi="Vinci"/>
          <w:b/>
          <w:color w:val="000000"/>
        </w:rPr>
        <w:t xml:space="preserve"> </w:t>
      </w:r>
      <w:r>
        <w:rPr>
          <w:rFonts w:ascii="Vinci" w:hAnsi="Vinci"/>
          <w:b/>
          <w:color w:val="000000"/>
        </w:rPr>
        <w:t>Republici</w:t>
      </w:r>
      <w:r w:rsidRPr="006328A6">
        <w:rPr>
          <w:rFonts w:ascii="Vinci" w:hAnsi="Vinci"/>
          <w:color w:val="000000"/>
        </w:rPr>
        <w:t xml:space="preserve">, </w:t>
      </w:r>
      <w:r>
        <w:rPr>
          <w:rFonts w:ascii="Vinci" w:hAnsi="Vinci"/>
          <w:color w:val="000000"/>
        </w:rPr>
        <w:t>uprkos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dobrom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početku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godine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kada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broj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putnika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porastao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za</w:t>
      </w:r>
      <w:r w:rsidRPr="006328A6">
        <w:rPr>
          <w:rFonts w:ascii="Vinci" w:hAnsi="Vinci"/>
          <w:color w:val="000000"/>
        </w:rPr>
        <w:t xml:space="preserve"> 12,4%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januaru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i</w:t>
      </w:r>
      <w:r w:rsidRPr="006328A6">
        <w:rPr>
          <w:rFonts w:ascii="Vinci" w:hAnsi="Vinci"/>
          <w:color w:val="000000"/>
        </w:rPr>
        <w:t xml:space="preserve"> 10,2%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februaru</w:t>
      </w:r>
      <w:r w:rsidRPr="006328A6">
        <w:rPr>
          <w:rFonts w:ascii="Vinci" w:hAnsi="Vinci"/>
          <w:color w:val="000000"/>
        </w:rPr>
        <w:t xml:space="preserve">, </w:t>
      </w:r>
      <w:r>
        <w:rPr>
          <w:rFonts w:ascii="Vinci" w:hAnsi="Vinci"/>
          <w:color w:val="000000"/>
        </w:rPr>
        <w:t>desio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se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pad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od</w:t>
      </w:r>
      <w:r w:rsidRPr="006328A6">
        <w:rPr>
          <w:rFonts w:ascii="Vinci" w:hAnsi="Vinci"/>
          <w:color w:val="000000"/>
        </w:rPr>
        <w:t xml:space="preserve"> 6,5% </w:t>
      </w:r>
      <w:r>
        <w:rPr>
          <w:rFonts w:ascii="Vinci" w:hAnsi="Vinci"/>
          <w:color w:val="000000"/>
        </w:rPr>
        <w:t>tokom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celokupnog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prvog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tromesečja</w:t>
      </w:r>
      <w:r w:rsidRPr="006328A6">
        <w:rPr>
          <w:rFonts w:ascii="Vinci" w:hAnsi="Vinci"/>
          <w:color w:val="000000"/>
        </w:rPr>
        <w:t xml:space="preserve">. </w:t>
      </w:r>
      <w:r>
        <w:rPr>
          <w:rFonts w:ascii="Vinci" w:hAnsi="Vinci"/>
          <w:color w:val="000000"/>
        </w:rPr>
        <w:t>Ovakvo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smanjenje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usledilo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  <w:lang w:val="sr-Cyrl-RS"/>
        </w:rPr>
        <w:t xml:space="preserve">je usled zatvaranja državne </w:t>
      </w:r>
      <w:r>
        <w:rPr>
          <w:rFonts w:ascii="Vinci" w:hAnsi="Vinci"/>
          <w:color w:val="000000"/>
        </w:rPr>
        <w:t>granic</w:t>
      </w:r>
      <w:r>
        <w:rPr>
          <w:rFonts w:ascii="Vinci" w:hAnsi="Vinci"/>
          <w:color w:val="000000"/>
          <w:lang w:val="sr-Cyrl-RS"/>
        </w:rPr>
        <w:t>e</w:t>
      </w:r>
      <w:r w:rsidRPr="006328A6">
        <w:rPr>
          <w:rFonts w:ascii="Vinci" w:hAnsi="Vinci"/>
          <w:color w:val="000000"/>
        </w:rPr>
        <w:t xml:space="preserve"> 19. </w:t>
      </w:r>
      <w:r>
        <w:rPr>
          <w:rFonts w:ascii="Vinci" w:hAnsi="Vinci"/>
          <w:color w:val="000000"/>
        </w:rPr>
        <w:t>marta</w:t>
      </w:r>
      <w:r w:rsidRPr="006328A6">
        <w:rPr>
          <w:rFonts w:ascii="Vinci" w:hAnsi="Vinci"/>
          <w:color w:val="000000"/>
        </w:rPr>
        <w:t>.</w:t>
      </w:r>
    </w:p>
    <w:p w14:paraId="3EF83E92" w14:textId="77777777" w:rsidR="00AD47E9" w:rsidRPr="006328A6" w:rsidRDefault="00AD47E9" w:rsidP="00AD47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inci" w:hAnsi="Vinci"/>
          <w:color w:val="000000"/>
          <w:lang w:val="en-GB"/>
        </w:rPr>
      </w:pPr>
    </w:p>
    <w:p w14:paraId="548543E0" w14:textId="77777777" w:rsidR="00AD47E9" w:rsidRPr="006328A6" w:rsidRDefault="00AD47E9" w:rsidP="00AD47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hAnsi="Vinci"/>
          <w:color w:val="000000"/>
        </w:rPr>
      </w:pPr>
      <w:r>
        <w:rPr>
          <w:rFonts w:ascii="Vinci" w:hAnsi="Vinci"/>
          <w:color w:val="000000"/>
        </w:rPr>
        <w:t>Početak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godine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b/>
          <w:color w:val="000000"/>
        </w:rPr>
        <w:t>Brazilu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potvrdio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uspešan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  <w:lang w:val="sr-Cyrl-RS"/>
        </w:rPr>
        <w:t xml:space="preserve">oporavak u </w:t>
      </w:r>
      <w:r>
        <w:rPr>
          <w:rFonts w:ascii="Vinci" w:hAnsi="Vinci"/>
          <w:color w:val="000000"/>
        </w:rPr>
        <w:t>broj</w:t>
      </w:r>
      <w:r>
        <w:rPr>
          <w:rFonts w:ascii="Vinci" w:hAnsi="Vinci"/>
          <w:color w:val="000000"/>
          <w:lang w:val="sr-Cyrl-RS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putnika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na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aerodromu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Salvador</w:t>
      </w:r>
      <w:r>
        <w:rPr>
          <w:rFonts w:ascii="Vinci" w:hAnsi="Vinci"/>
          <w:color w:val="000000"/>
          <w:lang w:val="sr-Cyrl-RS"/>
        </w:rPr>
        <w:t>,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nakon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gubitka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linija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usled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bankrota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avio</w:t>
      </w:r>
      <w:r>
        <w:rPr>
          <w:rFonts w:ascii="Vinci" w:hAnsi="Vinci"/>
          <w:color w:val="000000"/>
          <w:lang w:val="sr-Cyrl-RS"/>
        </w:rPr>
        <w:t xml:space="preserve">-kompanije </w:t>
      </w:r>
      <w:r>
        <w:rPr>
          <w:rFonts w:ascii="Vinci" w:hAnsi="Vinci"/>
          <w:color w:val="000000"/>
          <w:lang w:val="sr-Latn-RS"/>
        </w:rPr>
        <w:t>Avianca</w:t>
      </w:r>
      <w:r>
        <w:rPr>
          <w:rFonts w:ascii="Vinci" w:hAnsi="Vinci"/>
          <w:color w:val="000000"/>
          <w:lang w:val="sr-Cyrl-RS"/>
        </w:rPr>
        <w:t xml:space="preserve"> </w:t>
      </w:r>
      <w:r>
        <w:rPr>
          <w:rFonts w:ascii="Vinci" w:hAnsi="Vinci"/>
          <w:color w:val="000000"/>
          <w:lang w:val="sr-Latn-RS"/>
        </w:rPr>
        <w:t xml:space="preserve">Brasil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maju</w:t>
      </w:r>
      <w:r w:rsidRPr="006328A6">
        <w:rPr>
          <w:rFonts w:ascii="Vinci" w:hAnsi="Vinci"/>
          <w:color w:val="000000"/>
        </w:rPr>
        <w:t xml:space="preserve"> 2019. </w:t>
      </w:r>
      <w:r>
        <w:rPr>
          <w:rFonts w:ascii="Vinci" w:hAnsi="Vinci"/>
          <w:color w:val="000000"/>
        </w:rPr>
        <w:t>godine</w:t>
      </w:r>
      <w:r w:rsidRPr="006328A6">
        <w:rPr>
          <w:rFonts w:ascii="Vinci" w:hAnsi="Vinci"/>
          <w:color w:val="000000"/>
        </w:rPr>
        <w:t xml:space="preserve">. </w:t>
      </w:r>
      <w:r>
        <w:rPr>
          <w:rFonts w:ascii="Vinci" w:hAnsi="Vinci"/>
          <w:color w:val="000000"/>
        </w:rPr>
        <w:t>Širenje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virusa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COVID</w:t>
      </w:r>
      <w:r w:rsidRPr="006328A6">
        <w:rPr>
          <w:rFonts w:ascii="Vinci" w:hAnsi="Vinci"/>
          <w:color w:val="000000"/>
        </w:rPr>
        <w:t xml:space="preserve">-19 </w:t>
      </w:r>
      <w:r>
        <w:rPr>
          <w:rFonts w:ascii="Vinci" w:hAnsi="Vinci"/>
          <w:color w:val="000000"/>
        </w:rPr>
        <w:t>tokom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marta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ipak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dovelo do smanjenja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broja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putnika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za</w:t>
      </w:r>
      <w:r w:rsidRPr="006328A6">
        <w:rPr>
          <w:rFonts w:ascii="Vinci" w:hAnsi="Vinci"/>
          <w:color w:val="000000"/>
        </w:rPr>
        <w:t xml:space="preserve"> 9,4%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prvom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tromesečju</w:t>
      </w:r>
      <w:r w:rsidRPr="006328A6">
        <w:rPr>
          <w:rFonts w:ascii="Vinci" w:hAnsi="Vinci"/>
          <w:color w:val="000000"/>
        </w:rPr>
        <w:t xml:space="preserve"> 2020. </w:t>
      </w:r>
      <w:r>
        <w:rPr>
          <w:rFonts w:ascii="Vinci" w:hAnsi="Vinci"/>
          <w:color w:val="000000"/>
        </w:rPr>
        <w:t>godine</w:t>
      </w:r>
      <w:r w:rsidRPr="006328A6">
        <w:rPr>
          <w:rFonts w:ascii="Vinci" w:hAnsi="Vinci"/>
          <w:color w:val="000000"/>
        </w:rPr>
        <w:t>.</w:t>
      </w:r>
    </w:p>
    <w:p w14:paraId="1789C43D" w14:textId="77777777" w:rsidR="00AD47E9" w:rsidRPr="006328A6" w:rsidRDefault="00AD47E9" w:rsidP="00AD47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inci" w:hAnsi="Vinci"/>
          <w:color w:val="000000"/>
          <w:lang w:val="en-GB"/>
        </w:rPr>
      </w:pPr>
    </w:p>
    <w:p w14:paraId="1B3A262A" w14:textId="77777777" w:rsidR="00AD47E9" w:rsidRPr="006328A6" w:rsidRDefault="00AD47E9" w:rsidP="00AD47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b/>
        </w:rPr>
      </w:pPr>
      <w:r>
        <w:rPr>
          <w:rFonts w:ascii="Vinci" w:hAnsi="Vinci"/>
          <w:color w:val="000000"/>
        </w:rPr>
        <w:t>Broj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putnika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b/>
          <w:color w:val="000000"/>
        </w:rPr>
        <w:t>Čileu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opao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za</w:t>
      </w:r>
      <w:r w:rsidRPr="006328A6">
        <w:rPr>
          <w:rFonts w:ascii="Vinci" w:hAnsi="Vinci"/>
          <w:color w:val="000000"/>
        </w:rPr>
        <w:t xml:space="preserve"> 12,5%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prvom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kvartalu,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kako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zbog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sve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lošije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društvene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klime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koja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nastala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krajem</w:t>
      </w:r>
      <w:r w:rsidRPr="006328A6">
        <w:rPr>
          <w:rFonts w:ascii="Vinci" w:hAnsi="Vinci"/>
          <w:color w:val="000000"/>
        </w:rPr>
        <w:t xml:space="preserve"> 2019. </w:t>
      </w:r>
      <w:r>
        <w:rPr>
          <w:rFonts w:ascii="Vinci" w:hAnsi="Vinci"/>
          <w:color w:val="000000"/>
        </w:rPr>
        <w:t>godine,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tako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i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zbog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širenja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virusa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COVID</w:t>
      </w:r>
      <w:r w:rsidRPr="006328A6">
        <w:rPr>
          <w:rFonts w:ascii="Vinci" w:hAnsi="Vinci"/>
          <w:color w:val="000000"/>
        </w:rPr>
        <w:t xml:space="preserve">-19 </w:t>
      </w:r>
      <w:r>
        <w:rPr>
          <w:rFonts w:ascii="Vinci" w:hAnsi="Vinci"/>
          <w:color w:val="000000"/>
        </w:rPr>
        <w:t>u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martu</w:t>
      </w:r>
      <w:r w:rsidRPr="006328A6">
        <w:rPr>
          <w:rFonts w:ascii="Vinci" w:hAnsi="Vinci"/>
          <w:color w:val="000000"/>
        </w:rPr>
        <w:t xml:space="preserve"> 2020. </w:t>
      </w:r>
      <w:r>
        <w:rPr>
          <w:rFonts w:ascii="Vinci" w:hAnsi="Vinci"/>
          <w:color w:val="000000"/>
        </w:rPr>
        <w:t>godine</w:t>
      </w:r>
      <w:r w:rsidRPr="006328A6">
        <w:rPr>
          <w:rFonts w:ascii="Vinci" w:hAnsi="Vinci"/>
          <w:color w:val="000000"/>
        </w:rPr>
        <w:t xml:space="preserve">, </w:t>
      </w:r>
      <w:r>
        <w:rPr>
          <w:rFonts w:ascii="Vinci" w:hAnsi="Vinci"/>
          <w:color w:val="000000"/>
        </w:rPr>
        <w:t>koje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je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rezultiralo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zatvaranjem</w:t>
      </w:r>
      <w:r w:rsidRPr="006328A6">
        <w:rPr>
          <w:rFonts w:ascii="Vinci" w:hAnsi="Vinci"/>
          <w:color w:val="000000"/>
        </w:rPr>
        <w:t xml:space="preserve"> </w:t>
      </w:r>
      <w:r>
        <w:rPr>
          <w:rFonts w:ascii="Vinci" w:hAnsi="Vinci"/>
          <w:color w:val="000000"/>
        </w:rPr>
        <w:t>granica</w:t>
      </w:r>
      <w:r w:rsidRPr="006328A6">
        <w:rPr>
          <w:rFonts w:ascii="Vinci" w:hAnsi="Vinci"/>
          <w:color w:val="000000"/>
        </w:rPr>
        <w:t xml:space="preserve"> 18. </w:t>
      </w:r>
      <w:r>
        <w:rPr>
          <w:rFonts w:ascii="Vinci" w:hAnsi="Vinci"/>
          <w:color w:val="000000"/>
        </w:rPr>
        <w:t>marta</w:t>
      </w:r>
      <w:r w:rsidRPr="006328A6">
        <w:rPr>
          <w:rFonts w:ascii="Vinci" w:hAnsi="Vinci"/>
          <w:color w:val="000000"/>
        </w:rPr>
        <w:t>.</w:t>
      </w:r>
    </w:p>
    <w:p w14:paraId="20D6D01C" w14:textId="77777777" w:rsidR="00AD47E9" w:rsidRPr="006328A6" w:rsidRDefault="00AD47E9" w:rsidP="00AD47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b/>
          <w:lang w:val="en-GB"/>
        </w:rPr>
      </w:pPr>
    </w:p>
    <w:p w14:paraId="6BFA7426" w14:textId="77777777" w:rsidR="00AD47E9" w:rsidRPr="006328A6" w:rsidRDefault="00AD47E9" w:rsidP="00AD47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inci" w:eastAsia="Vinci Sans" w:hAnsi="Vinci" w:cs="Vinci Sans"/>
          <w:b/>
          <w:lang w:val="en-GB"/>
        </w:rPr>
      </w:pPr>
    </w:p>
    <w:p w14:paraId="09420897" w14:textId="0246B591" w:rsidR="00E60242" w:rsidRPr="006328A6" w:rsidRDefault="00AD47E9" w:rsidP="00AD47E9">
      <w:pPr>
        <w:jc w:val="both"/>
        <w:rPr>
          <w:rFonts w:ascii="Vinci" w:eastAsia="Vinci Sans" w:hAnsi="Vinci" w:cs="Vinci Sans"/>
          <w:lang w:val="en-GB"/>
        </w:rPr>
      </w:pPr>
      <w:r>
        <w:rPr>
          <w:rFonts w:ascii="Vinci" w:hAnsi="Vinci"/>
        </w:rPr>
        <w:t>Ni</w:t>
      </w:r>
      <w:r>
        <w:rPr>
          <w:rFonts w:ascii="Vinci" w:hAnsi="Vinci"/>
          <w:lang w:val="sr-Cyrl-RS"/>
        </w:rPr>
        <w:t xml:space="preserve">kola </w:t>
      </w:r>
      <w:r>
        <w:rPr>
          <w:rFonts w:ascii="Vinci" w:hAnsi="Vinci"/>
        </w:rPr>
        <w:t>Notb</w:t>
      </w:r>
      <w:r>
        <w:rPr>
          <w:rFonts w:ascii="Vinci" w:hAnsi="Vinci"/>
          <w:lang w:val="sr-Cyrl-RS"/>
        </w:rPr>
        <w:t>a</w:t>
      </w:r>
      <w:r>
        <w:rPr>
          <w:rFonts w:ascii="Vinci" w:hAnsi="Vinci"/>
        </w:rPr>
        <w:t>r</w:t>
      </w:r>
      <w:r w:rsidRPr="006328A6">
        <w:rPr>
          <w:rFonts w:ascii="Vinci" w:hAnsi="Vinci"/>
        </w:rPr>
        <w:t xml:space="preserve">, </w:t>
      </w:r>
      <w:r>
        <w:rPr>
          <w:rFonts w:ascii="Vinci" w:hAnsi="Vinci"/>
        </w:rPr>
        <w:t>predsednik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kompanije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  <w:lang w:val="sr-Latn-RS"/>
        </w:rPr>
        <w:t>VINCI Airports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generalni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direktor</w:t>
      </w:r>
      <w:r w:rsidRPr="006328A6">
        <w:rPr>
          <w:rFonts w:ascii="Vinci" w:hAnsi="Vinci"/>
        </w:rPr>
        <w:t xml:space="preserve"> </w:t>
      </w:r>
      <w:r>
        <w:rPr>
          <w:rFonts w:ascii="Vinci" w:hAnsi="Vinci"/>
        </w:rPr>
        <w:t>kompanije</w:t>
      </w:r>
      <w:r w:rsidRPr="006328A6">
        <w:rPr>
          <w:rFonts w:ascii="Vinci" w:hAnsi="Vinci"/>
        </w:rPr>
        <w:t xml:space="preserve">  </w:t>
      </w:r>
      <w:r>
        <w:rPr>
          <w:rFonts w:ascii="Vinci" w:hAnsi="Vinci"/>
        </w:rPr>
        <w:t>VINCI Concessions izjavio je</w:t>
      </w:r>
      <w:r w:rsidRPr="006328A6">
        <w:rPr>
          <w:rFonts w:ascii="Vinci" w:hAnsi="Vinci"/>
        </w:rPr>
        <w:t>: “</w:t>
      </w:r>
      <w:r>
        <w:rPr>
          <w:rFonts w:ascii="Vinci" w:hAnsi="Vinci"/>
          <w:i/>
          <w:iCs/>
        </w:rPr>
        <w:t>Naša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delatnost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prolazi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kroz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krizu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koja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je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bez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presedana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svom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intenzitetu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obimu</w:t>
      </w:r>
      <w:r w:rsidRPr="006328A6">
        <w:rPr>
          <w:rFonts w:ascii="Vinci" w:hAnsi="Vinci"/>
          <w:i/>
          <w:iCs/>
        </w:rPr>
        <w:t xml:space="preserve">. </w:t>
      </w:r>
      <w:r>
        <w:rPr>
          <w:rFonts w:ascii="Vinci" w:hAnsi="Vinci"/>
          <w:i/>
          <w:iCs/>
        </w:rPr>
        <w:t>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ovako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teškim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okolnostima</w:t>
      </w:r>
      <w:r w:rsidRPr="006328A6">
        <w:rPr>
          <w:rFonts w:ascii="Vinci" w:hAnsi="Vinci"/>
          <w:i/>
          <w:iCs/>
        </w:rPr>
        <w:t xml:space="preserve">, </w:t>
      </w:r>
      <w:r>
        <w:rPr>
          <w:rFonts w:ascii="Vinci" w:hAnsi="Vinci"/>
          <w:i/>
          <w:iCs/>
        </w:rPr>
        <w:t>svaki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od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naših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aerodroma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može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računati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na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bezrezervnu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podršku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cele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mreže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kako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bio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snažniji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postupao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proaktivnije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suočavanju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krizom</w:t>
      </w:r>
      <w:r w:rsidRPr="006328A6">
        <w:rPr>
          <w:rFonts w:ascii="Vinci" w:hAnsi="Vinci"/>
          <w:i/>
          <w:iCs/>
        </w:rPr>
        <w:t xml:space="preserve">, </w:t>
      </w:r>
      <w:r>
        <w:rPr>
          <w:rFonts w:ascii="Vinci" w:hAnsi="Vinci"/>
          <w:i/>
          <w:iCs/>
        </w:rPr>
        <w:t>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takođe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kako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bi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bolje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pripremio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za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oporavak</w:t>
      </w:r>
      <w:r w:rsidRPr="006328A6">
        <w:rPr>
          <w:rFonts w:ascii="Vinci" w:hAnsi="Vinci"/>
          <w:i/>
          <w:iCs/>
        </w:rPr>
        <w:t xml:space="preserve">, </w:t>
      </w:r>
      <w:r>
        <w:rPr>
          <w:rFonts w:ascii="Vinci" w:hAnsi="Vinci"/>
          <w:i/>
          <w:iCs/>
        </w:rPr>
        <w:t>zajedno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svim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</w:rPr>
        <w:t>partnerima</w:t>
      </w:r>
      <w:r w:rsidRPr="006328A6">
        <w:rPr>
          <w:rFonts w:ascii="Vinci" w:hAnsi="Vinci"/>
          <w:i/>
          <w:iCs/>
        </w:rPr>
        <w:t xml:space="preserve"> </w:t>
      </w:r>
      <w:r>
        <w:rPr>
          <w:rFonts w:ascii="Vinci" w:hAnsi="Vinci"/>
          <w:i/>
          <w:iCs/>
          <w:lang w:val="sr-Cyrl-RS"/>
        </w:rPr>
        <w:t>u oblasti avio-saobraćaja.</w:t>
      </w:r>
      <w:r w:rsidRPr="006328A6">
        <w:rPr>
          <w:rFonts w:ascii="Vinci" w:hAnsi="Vinci"/>
          <w:iCs/>
        </w:rPr>
        <w:t>”</w:t>
      </w:r>
    </w:p>
    <w:p w14:paraId="45504DA4" w14:textId="77777777" w:rsidR="00E60242" w:rsidRPr="006328A6" w:rsidRDefault="00E60242" w:rsidP="00E60242">
      <w:pPr>
        <w:jc w:val="both"/>
        <w:rPr>
          <w:rFonts w:ascii="Vinci" w:eastAsia="Vinci Sans" w:hAnsi="Vinci" w:cs="Vinci Sans"/>
          <w:lang w:val="en-GB"/>
        </w:rPr>
      </w:pPr>
    </w:p>
    <w:p w14:paraId="34BF5CAD" w14:textId="77777777" w:rsidR="00E60242" w:rsidRPr="006328A6" w:rsidRDefault="00E60242" w:rsidP="00E60242">
      <w:pPr>
        <w:jc w:val="both"/>
        <w:rPr>
          <w:rFonts w:ascii="Vinci" w:eastAsia="Vinci Sans" w:hAnsi="Vinci" w:cs="Vinci Sans"/>
          <w:lang w:val="en-GB"/>
        </w:rPr>
      </w:pPr>
    </w:p>
    <w:p w14:paraId="2C53395B" w14:textId="77777777" w:rsidR="00E60242" w:rsidRPr="006328A6" w:rsidRDefault="00E60242" w:rsidP="00E60242">
      <w:pPr>
        <w:jc w:val="both"/>
        <w:outlineLvl w:val="0"/>
        <w:rPr>
          <w:rFonts w:ascii="Vinci" w:eastAsia="Times New Roman" w:hAnsi="Vinci"/>
          <w:b/>
          <w:sz w:val="16"/>
          <w:szCs w:val="16"/>
        </w:rPr>
      </w:pPr>
      <w:r w:rsidRPr="006328A6">
        <w:rPr>
          <w:rFonts w:ascii="Vinci" w:hAnsi="Vinci"/>
          <w:b/>
          <w:sz w:val="16"/>
          <w:szCs w:val="16"/>
        </w:rPr>
        <w:t>O kompaniji VINCI Airports</w:t>
      </w:r>
    </w:p>
    <w:p w14:paraId="34BEAC58" w14:textId="77777777" w:rsidR="00725BE8" w:rsidRPr="006328A6" w:rsidRDefault="00725BE8" w:rsidP="00725BE8">
      <w:pPr>
        <w:jc w:val="both"/>
        <w:rPr>
          <w:rStyle w:val="Hyperlink"/>
          <w:rFonts w:ascii="Vinci" w:eastAsia="Times New Roman" w:hAnsi="Vinci"/>
          <w:sz w:val="16"/>
          <w:szCs w:val="16"/>
        </w:rPr>
      </w:pPr>
      <w:r w:rsidRPr="006328A6">
        <w:rPr>
          <w:rFonts w:ascii="Vinci" w:hAnsi="Vinci"/>
          <w:sz w:val="16"/>
          <w:szCs w:val="16"/>
        </w:rPr>
        <w:t>Kompanija VINCI Airports, kao vodeći privatni aerodromski operater u svetu, upravlja razvojem i poslovanjem 45 aerodroma koji se nalaze u Brazilu, Kambodži, Čileu, Dominikanskoj Republici, Francuskoj, Japanu, Portugaliji, Srbiji, Švedskoj, Ujedinjenom Kraljevstvu i Sjedinjenim Američki</w:t>
      </w:r>
      <w:bookmarkStart w:id="0" w:name="_GoBack"/>
      <w:bookmarkEnd w:id="0"/>
      <w:r w:rsidRPr="006328A6">
        <w:rPr>
          <w:rFonts w:ascii="Vinci" w:hAnsi="Vinci"/>
          <w:sz w:val="16"/>
          <w:szCs w:val="16"/>
        </w:rPr>
        <w:t xml:space="preserve">m Državama  U saradnji sa preko 250 avio-kompanija, mreža aerodroma kojima upravlja kompanija VINCI Airports opslužila je 255 miliona putnika u 2019. godini. Svojim stručnim znanjima u oblasti sveobuhvatne integracije, kompanija VINCI Airports razvija, finansira i gradi aerodrome , ali i upravlja njima, ojačavajući sopstvene kapacitete ulaganja, gradeći znanje i umeće kako bi se optimizovalo poslovanje aerodroma i izvela proširenja i unapređenja objekata. U 2019. godini, njen godišnji prihod iz delatnosti kojima upravlja je iznosio 4,9 milijardi evra, a konsolidovani prihod 2,6 milijardi. </w:t>
      </w:r>
      <w:hyperlink r:id="rId10" w:history="1">
        <w:r w:rsidRPr="006328A6">
          <w:rPr>
            <w:rStyle w:val="Hyperlink"/>
            <w:rFonts w:ascii="Vinci" w:hAnsi="Vinci"/>
            <w:sz w:val="16"/>
            <w:szCs w:val="16"/>
          </w:rPr>
          <w:t>www.vinci-airports.com</w:t>
        </w:r>
      </w:hyperlink>
      <w:r w:rsidRPr="006328A6">
        <w:rPr>
          <w:rStyle w:val="Hyperlink"/>
          <w:rFonts w:ascii="Vinci" w:hAnsi="Vinci"/>
        </w:rPr>
        <w:t xml:space="preserve"> </w:t>
      </w:r>
    </w:p>
    <w:p w14:paraId="275E1955" w14:textId="77777777" w:rsidR="00E60242" w:rsidRPr="006328A6" w:rsidRDefault="00E60242" w:rsidP="00E60242">
      <w:pPr>
        <w:jc w:val="both"/>
        <w:outlineLvl w:val="0"/>
        <w:rPr>
          <w:rFonts w:ascii="Vinci" w:eastAsia="Times New Roman" w:hAnsi="Vinci"/>
          <w:b/>
          <w:sz w:val="16"/>
          <w:szCs w:val="16"/>
          <w:lang w:val="en-GB"/>
        </w:rPr>
      </w:pPr>
    </w:p>
    <w:p w14:paraId="5FFE9B15" w14:textId="77777777" w:rsidR="00E60242" w:rsidRPr="006328A6" w:rsidRDefault="00E60242" w:rsidP="00E60242">
      <w:pPr>
        <w:jc w:val="both"/>
        <w:outlineLvl w:val="0"/>
        <w:rPr>
          <w:rFonts w:ascii="Vinci" w:eastAsia="Times New Roman" w:hAnsi="Vinci"/>
          <w:b/>
          <w:sz w:val="16"/>
          <w:szCs w:val="16"/>
          <w:lang w:val="en-GB"/>
        </w:rPr>
      </w:pPr>
    </w:p>
    <w:p w14:paraId="479EED6E" w14:textId="77777777" w:rsidR="00E60242" w:rsidRPr="006328A6" w:rsidRDefault="00E60242" w:rsidP="00E60242">
      <w:pPr>
        <w:contextualSpacing/>
        <w:rPr>
          <w:rFonts w:ascii="Vinci" w:hAnsi="Vinci"/>
          <w:b/>
          <w:sz w:val="16"/>
          <w:szCs w:val="16"/>
        </w:rPr>
      </w:pPr>
      <w:r w:rsidRPr="006328A6">
        <w:rPr>
          <w:rFonts w:ascii="Vinci" w:hAnsi="Vinci"/>
          <w:b/>
          <w:sz w:val="16"/>
          <w:szCs w:val="16"/>
        </w:rPr>
        <w:t>O kompaniji VINCI</w:t>
      </w:r>
    </w:p>
    <w:p w14:paraId="37077818" w14:textId="03857528" w:rsidR="00E60242" w:rsidRPr="006328A6" w:rsidRDefault="00E60242" w:rsidP="00E60242">
      <w:pPr>
        <w:widowControl w:val="0"/>
        <w:autoSpaceDE w:val="0"/>
        <w:autoSpaceDN w:val="0"/>
        <w:adjustRightInd w:val="0"/>
        <w:jc w:val="both"/>
        <w:rPr>
          <w:rFonts w:ascii="Vinci" w:hAnsi="Vinci"/>
          <w:sz w:val="16"/>
          <w:szCs w:val="16"/>
        </w:rPr>
      </w:pPr>
      <w:r w:rsidRPr="006328A6">
        <w:rPr>
          <w:rFonts w:ascii="Vinci" w:hAnsi="Vinci"/>
          <w:sz w:val="16"/>
          <w:szCs w:val="16"/>
        </w:rPr>
        <w:t xml:space="preserve">VINCI je globalni igrač u oblasti koncesija i ugovaranja koji zapošljava 222.000 ljudi u oko 100 zemalja. Mi projektujemo, finansiramo, gradimo i upravljamo infrastrukturom i objektima koji pomažu unapređenje svakodnevnog života i mobilnost za sve nas. Pošto verujemo u sveobuhvatne rezultate, iznad i izvan ekonomskih i finansijskih rezultata, posvećeni smo radu na ekološki i društveno odgovoran način. </w:t>
      </w:r>
      <w:r w:rsidR="00875902" w:rsidRPr="006328A6">
        <w:rPr>
          <w:rFonts w:ascii="Vinci" w:hAnsi="Vinci"/>
          <w:sz w:val="16"/>
          <w:szCs w:val="16"/>
        </w:rPr>
        <w:t>Budući</w:t>
      </w:r>
      <w:r w:rsidRPr="006328A6">
        <w:rPr>
          <w:rFonts w:ascii="Vinci" w:hAnsi="Vinci"/>
          <w:sz w:val="16"/>
          <w:szCs w:val="16"/>
        </w:rPr>
        <w:t xml:space="preserve"> da su naši projekti od javnog interesa, smatramo da je dopreti do svih naših aktera i njihovo uključivanje u dijalog od suštinskog značaja za obavljanje naših poslovnih aktivnosti. Cilj kompanije VINCI je da stvori dugoročnu vrednost za svoje kupce, deoničare, zaposlene i partnere, kao i za širu društvenu zajednicu. </w:t>
      </w:r>
      <w:hyperlink r:id="rId11" w:history="1">
        <w:r w:rsidRPr="006328A6">
          <w:rPr>
            <w:rStyle w:val="Hyperlink"/>
            <w:rFonts w:ascii="Vinci" w:hAnsi="Vinci"/>
            <w:sz w:val="16"/>
            <w:szCs w:val="16"/>
          </w:rPr>
          <w:t>www.vinci.com</w:t>
        </w:r>
      </w:hyperlink>
    </w:p>
    <w:p w14:paraId="78C8C92D" w14:textId="77777777" w:rsidR="00E60242" w:rsidRPr="006328A6" w:rsidRDefault="00E60242" w:rsidP="00E60242">
      <w:pPr>
        <w:jc w:val="both"/>
        <w:rPr>
          <w:rFonts w:ascii="Vinci" w:eastAsia="Times New Roman" w:hAnsi="Vinci" w:cs="Times New Roman"/>
          <w:b/>
          <w:bCs/>
          <w:color w:val="808080"/>
          <w:szCs w:val="27"/>
        </w:rPr>
      </w:pPr>
      <w:r w:rsidRPr="006328A6">
        <w:rPr>
          <w:rFonts w:ascii="Vinci" w:hAnsi="Vinci"/>
        </w:rPr>
        <w:br w:type="page"/>
      </w:r>
    </w:p>
    <w:p w14:paraId="49DAC400" w14:textId="77777777" w:rsidR="00E60242" w:rsidRPr="006328A6" w:rsidRDefault="00E60242" w:rsidP="00E60242">
      <w:pPr>
        <w:pStyle w:val="BodyText"/>
        <w:jc w:val="both"/>
        <w:rPr>
          <w:rFonts w:ascii="Vinci" w:hAnsi="Vinci"/>
          <w:b/>
          <w:bCs/>
          <w:color w:val="808080"/>
          <w:sz w:val="22"/>
          <w:szCs w:val="27"/>
        </w:rPr>
      </w:pPr>
      <w:r w:rsidRPr="006328A6">
        <w:rPr>
          <w:rFonts w:ascii="Vinci" w:hAnsi="Vinci"/>
          <w:b/>
          <w:bCs/>
          <w:color w:val="808080"/>
          <w:sz w:val="22"/>
          <w:szCs w:val="27"/>
        </w:rPr>
        <w:lastRenderedPageBreak/>
        <w:t>Prilog – Broj putnika i komercijalnih letova na dan 31. mart 2020. g.</w:t>
      </w:r>
    </w:p>
    <w:p w14:paraId="689E0931" w14:textId="77777777" w:rsidR="00E60242" w:rsidRPr="006328A6" w:rsidRDefault="00E60242" w:rsidP="00E60242">
      <w:pPr>
        <w:kinsoku w:val="0"/>
        <w:overflowPunct w:val="0"/>
        <w:spacing w:line="243" w:lineRule="exact"/>
        <w:ind w:left="800"/>
        <w:rPr>
          <w:rFonts w:ascii="Vinci" w:hAnsi="Vinci" w:cs="Vinci Sans"/>
          <w:b/>
          <w:bCs/>
          <w:spacing w:val="-2"/>
          <w:sz w:val="20"/>
          <w:lang w:val="en-GB"/>
        </w:rPr>
      </w:pPr>
    </w:p>
    <w:p w14:paraId="11D38ACC" w14:textId="77777777" w:rsidR="00E60242" w:rsidRPr="006328A6" w:rsidRDefault="00E60242" w:rsidP="00E60242">
      <w:pPr>
        <w:numPr>
          <w:ilvl w:val="0"/>
          <w:numId w:val="25"/>
        </w:numPr>
        <w:kinsoku w:val="0"/>
        <w:overflowPunct w:val="0"/>
        <w:spacing w:line="243" w:lineRule="exact"/>
        <w:rPr>
          <w:rFonts w:ascii="Vinci" w:hAnsi="Vinci" w:cs="Vinci Sans"/>
          <w:b/>
          <w:bCs/>
          <w:spacing w:val="-2"/>
          <w:sz w:val="20"/>
        </w:rPr>
      </w:pPr>
      <w:r w:rsidRPr="006328A6">
        <w:rPr>
          <w:rFonts w:ascii="Vinci" w:hAnsi="Vinci"/>
          <w:b/>
          <w:bCs/>
          <w:sz w:val="20"/>
        </w:rPr>
        <w:t>Broj putnika po aerodromima</w:t>
      </w:r>
    </w:p>
    <w:tbl>
      <w:tblPr>
        <w:tblW w:w="52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6"/>
        <w:gridCol w:w="32"/>
        <w:gridCol w:w="1414"/>
        <w:gridCol w:w="1082"/>
        <w:gridCol w:w="1522"/>
        <w:gridCol w:w="1175"/>
        <w:gridCol w:w="988"/>
      </w:tblGrid>
      <w:tr w:rsidR="006328A6" w:rsidRPr="006328A6" w14:paraId="149FE7EA" w14:textId="77777777" w:rsidTr="006328A6">
        <w:trPr>
          <w:trHeight w:val="1191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8075" w14:textId="77777777" w:rsidR="00E60242" w:rsidRPr="006328A6" w:rsidRDefault="00E60242" w:rsidP="00915625">
            <w:pPr>
              <w:rPr>
                <w:rFonts w:ascii="Vinci" w:eastAsia="Times New Roman" w:hAnsi="Vinci"/>
                <w:i/>
                <w:i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U hiljadama putnika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131" w14:textId="77777777" w:rsidR="006328A6" w:rsidRPr="006328A6" w:rsidRDefault="00E60242" w:rsidP="00915625">
            <w:pPr>
              <w:jc w:val="center"/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Udeo</w:t>
            </w:r>
          </w:p>
          <w:p w14:paraId="5E4CB2D5" w14:textId="77777777" w:rsidR="006328A6" w:rsidRPr="006328A6" w:rsidRDefault="00E60242" w:rsidP="00915625">
            <w:pPr>
              <w:jc w:val="center"/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VINCI</w:t>
            </w:r>
          </w:p>
          <w:p w14:paraId="0BCD0C3B" w14:textId="018B7679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Airports (%)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45AF37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Prvo tromesečje 2020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49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Promena Prvo tromesečje  2020/</w:t>
            </w: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br/>
              <w:t>Prvo tromesečje  2019 (%)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0BA5C7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color w:val="000000"/>
                <w:sz w:val="18"/>
                <w:szCs w:val="18"/>
              </w:rPr>
              <w:t>12 uzastopnih</w:t>
            </w:r>
            <w:r w:rsidRPr="006328A6">
              <w:rPr>
                <w:rFonts w:ascii="Vinci" w:hAnsi="Vinci"/>
                <w:color w:val="000000"/>
                <w:sz w:val="18"/>
                <w:szCs w:val="18"/>
              </w:rPr>
              <w:br/>
              <w:t>meseci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83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color w:val="000000"/>
                <w:sz w:val="18"/>
                <w:szCs w:val="18"/>
              </w:rPr>
              <w:t>Godišnja promena (%)</w:t>
            </w:r>
          </w:p>
        </w:tc>
      </w:tr>
      <w:tr w:rsidR="006328A6" w:rsidRPr="006328A6" w14:paraId="16BC4B55" w14:textId="77777777" w:rsidTr="006328A6">
        <w:trPr>
          <w:trHeight w:val="28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EFE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Portugalija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(ANA), </w:t>
            </w: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od kojih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EF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70809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F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9C9C5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47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4E4E0C65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A9A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Lisbon (LIS)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19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03FAA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5.408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F0F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-13,5%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D324F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30.327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435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+3,6%</w:t>
            </w:r>
          </w:p>
        </w:tc>
      </w:tr>
      <w:tr w:rsidR="006328A6" w:rsidRPr="006328A6" w14:paraId="27E1D94B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4EB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Porto (OPO)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C0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9447F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2.198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B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8B186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12.696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E2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+4,4%</w:t>
            </w:r>
          </w:p>
        </w:tc>
      </w:tr>
      <w:tr w:rsidR="006328A6" w:rsidRPr="006328A6" w14:paraId="78D445FA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BC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Faro (FAO)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5A2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0B809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74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-24,8%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FA690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8.758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0BA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-0,4%</w:t>
            </w:r>
          </w:p>
        </w:tc>
      </w:tr>
      <w:tr w:rsidR="006328A6" w:rsidRPr="006328A6" w14:paraId="5E9BE4D5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8E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Madeira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A0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4E198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CBA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-16,1%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72F41B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3.252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1D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-3,7%</w:t>
            </w:r>
          </w:p>
        </w:tc>
      </w:tr>
      <w:tr w:rsidR="006328A6" w:rsidRPr="006328A6" w14:paraId="063663F1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B4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Azores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BD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D2E17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A9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-15,9%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67AD5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2.398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A4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+2,3%</w:t>
            </w:r>
          </w:p>
        </w:tc>
      </w:tr>
      <w:tr w:rsidR="006328A6" w:rsidRPr="006328A6" w14:paraId="0949D466" w14:textId="77777777" w:rsidTr="006328A6">
        <w:trPr>
          <w:trHeight w:val="283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177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5E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C3E39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9.325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154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-15,3%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E06DE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57.432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35B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+2,6%</w:t>
            </w:r>
          </w:p>
        </w:tc>
      </w:tr>
      <w:tr w:rsidR="006328A6" w:rsidRPr="006328A6" w14:paraId="5378F82E" w14:textId="77777777" w:rsidTr="006328A6">
        <w:trPr>
          <w:trHeight w:val="28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F24B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Ujedinjeno Kraljevstvo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BA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84C86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F7B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719D9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AA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33339194" w14:textId="77777777" w:rsidTr="006328A6">
        <w:trPr>
          <w:trHeight w:val="30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D93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Getvik (LGW)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2C3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39FEA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BA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-22,5%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F97C1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44.394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A2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-4,4%</w:t>
            </w:r>
          </w:p>
        </w:tc>
      </w:tr>
      <w:tr w:rsidR="006328A6" w:rsidRPr="006328A6" w14:paraId="4EB990E9" w14:textId="77777777" w:rsidTr="006328A6">
        <w:trPr>
          <w:trHeight w:val="30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B3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Belfast (BFS)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D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A390A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5E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-24,3%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18EC3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5.958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31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-7,3%</w:t>
            </w:r>
          </w:p>
        </w:tc>
      </w:tr>
      <w:tr w:rsidR="006328A6" w:rsidRPr="006328A6" w14:paraId="289BED03" w14:textId="77777777" w:rsidTr="006328A6">
        <w:trPr>
          <w:trHeight w:val="283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664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BC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C60A1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8.516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27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-22,7%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94FD2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50.352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729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-4,8%</w:t>
            </w:r>
          </w:p>
        </w:tc>
      </w:tr>
      <w:tr w:rsidR="006328A6" w:rsidRPr="006328A6" w14:paraId="7C5703C5" w14:textId="77777777" w:rsidTr="006328A6">
        <w:trPr>
          <w:trHeight w:val="28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3FD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Japan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(Kansai Airports)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78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42301E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0BE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3062D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E5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071818C2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2C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Kansai (KIX)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49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70D0D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4.819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C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-39,4%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C84AD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28.767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AF9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-2,1%</w:t>
            </w:r>
          </w:p>
        </w:tc>
      </w:tr>
      <w:tr w:rsidR="006328A6" w:rsidRPr="006328A6" w14:paraId="09596597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E1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Itami (ITM)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B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97693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1D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-18,2%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C6DD8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15.828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AF9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-2,8%</w:t>
            </w:r>
          </w:p>
        </w:tc>
      </w:tr>
      <w:tr w:rsidR="006328A6" w:rsidRPr="006328A6" w14:paraId="634B91CE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FA3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Kobe (UKB)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96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FF0DE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ED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68EC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3C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+3,2%</w:t>
            </w:r>
          </w:p>
        </w:tc>
      </w:tr>
      <w:tr w:rsidR="006328A6" w:rsidRPr="006328A6" w14:paraId="52722165" w14:textId="77777777" w:rsidTr="006328A6">
        <w:trPr>
          <w:trHeight w:val="283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238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9E3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20B3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8.673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BD6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-31,0%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4B33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47.887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94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-2,0%</w:t>
            </w:r>
          </w:p>
        </w:tc>
      </w:tr>
      <w:tr w:rsidR="006328A6" w:rsidRPr="006328A6" w14:paraId="161785D2" w14:textId="77777777" w:rsidTr="006328A6">
        <w:trPr>
          <w:trHeight w:val="28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20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Čile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 (Nuevo Pudahuel)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50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3783B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6B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65719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55A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76F2ED99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711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Santiago (SCL)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F7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F7666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6.115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C29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-12,5%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79513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23.772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29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-0,9%</w:t>
            </w:r>
          </w:p>
        </w:tc>
      </w:tr>
      <w:tr w:rsidR="006328A6" w:rsidRPr="006328A6" w14:paraId="1C5F31A1" w14:textId="77777777" w:rsidTr="006328A6">
        <w:trPr>
          <w:trHeight w:val="283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D7E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EC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5CDB1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6.115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64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-12,5%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4AB63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23.772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80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-0,9%</w:t>
            </w:r>
          </w:p>
        </w:tc>
      </w:tr>
      <w:tr w:rsidR="006328A6" w:rsidRPr="006328A6" w14:paraId="4A1D116B" w14:textId="77777777" w:rsidTr="006328A6">
        <w:trPr>
          <w:trHeight w:val="28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096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Francuska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ED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BBD7A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DF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4D1F1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84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09A0761D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21B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Lyon-Saint Exupéry (LYS) &amp; Lyon-Bron (LYN)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6A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537D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2.034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0A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-20,7%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60481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11.225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858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-0,5%</w:t>
            </w:r>
          </w:p>
        </w:tc>
      </w:tr>
      <w:tr w:rsidR="006328A6" w:rsidRPr="006328A6" w14:paraId="58507441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FE9D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Nantes Atlantique (NTE)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33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48403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D4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37548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7.102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FD5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+11,8%</w:t>
            </w:r>
          </w:p>
        </w:tc>
      </w:tr>
      <w:tr w:rsidR="006328A6" w:rsidRPr="006328A6" w14:paraId="67961643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B4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Saint-Nazaire Montoir (SNR)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631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938B2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47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9F55A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299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-7,7%</w:t>
            </w:r>
          </w:p>
        </w:tc>
      </w:tr>
      <w:tr w:rsidR="006328A6" w:rsidRPr="006328A6" w14:paraId="32126642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01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Rennes Bretagne (RNS)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CC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73235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76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-38,5%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5D248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492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-11,5%</w:t>
            </w:r>
          </w:p>
        </w:tc>
      </w:tr>
      <w:tr w:rsidR="006328A6" w:rsidRPr="006328A6" w14:paraId="55E56ACE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1B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Dinard Bretagne (DNR)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40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AC09B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34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-10,8%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03388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91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-9,7%</w:t>
            </w:r>
          </w:p>
        </w:tc>
      </w:tr>
      <w:tr w:rsidR="006328A6" w:rsidRPr="006328A6" w14:paraId="3941C53D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33E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Grenoble Alpes Isère (GNB)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C2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1D1D8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6B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2319B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CD9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-14,8%</w:t>
            </w:r>
          </w:p>
        </w:tc>
      </w:tr>
      <w:tr w:rsidR="006328A6" w:rsidRPr="006328A6" w14:paraId="72AB0CD6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59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Chambéry Savoie Mont Blanc (CMF)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94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043A4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98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-35,6%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54162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7C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-28,4%</w:t>
            </w:r>
          </w:p>
        </w:tc>
      </w:tr>
      <w:tr w:rsidR="006328A6" w:rsidRPr="006328A6" w14:paraId="45C7FE15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9B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Toulon Hyères (TLN)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19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7BBB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47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-40,1%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6B99D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CA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-21,0%</w:t>
            </w:r>
          </w:p>
        </w:tc>
      </w:tr>
      <w:tr w:rsidR="006328A6" w:rsidRPr="006328A6" w14:paraId="374743FE" w14:textId="77777777" w:rsidTr="006328A6">
        <w:trPr>
          <w:trHeight w:val="330"/>
        </w:trPr>
        <w:tc>
          <w:tcPr>
            <w:tcW w:w="17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F2D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Clermont Ferrand Auvergne (CFE)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92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C4F1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5E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-19,0%</w:t>
            </w:r>
          </w:p>
        </w:tc>
        <w:tc>
          <w:tcPr>
            <w:tcW w:w="616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14A2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0F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-4,0%</w:t>
            </w:r>
          </w:p>
        </w:tc>
      </w:tr>
      <w:tr w:rsidR="006328A6" w:rsidRPr="006328A6" w14:paraId="4E3FF550" w14:textId="77777777" w:rsidTr="006328A6">
        <w:trPr>
          <w:trHeight w:val="28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1B6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62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3864C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AC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-18,9%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6ADD54" w14:textId="7D7FA243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20.531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A01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+1,7%</w:t>
            </w:r>
          </w:p>
        </w:tc>
      </w:tr>
      <w:tr w:rsidR="006328A6" w:rsidRPr="006328A6" w14:paraId="08081516" w14:textId="77777777" w:rsidTr="006328A6">
        <w:trPr>
          <w:trHeight w:val="1191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F2C" w14:textId="77777777" w:rsidR="00E60242" w:rsidRPr="006328A6" w:rsidRDefault="00E60242" w:rsidP="00915625">
            <w:pPr>
              <w:rPr>
                <w:rFonts w:ascii="Vinci" w:eastAsia="Times New Roman" w:hAnsi="Vinci"/>
                <w:i/>
                <w:i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lastRenderedPageBreak/>
              <w:t>U hiljadama putnika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E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Udeo VINCI Airports (%)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2ACBBA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Q1 2020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EC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Promena Q1 2020/</w:t>
            </w: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br/>
              <w:t>Q1 2019 (%)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8861E1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12 uzastopnih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br/>
              <w:t xml:space="preserve">meseci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AC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Godišnja promena (%)</w:t>
            </w:r>
          </w:p>
        </w:tc>
      </w:tr>
      <w:tr w:rsidR="006328A6" w:rsidRPr="006328A6" w14:paraId="4270108B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E55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Kambodža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 (Aerodromi Kambodže)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5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FAA8D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37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503BE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DC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42D8DAF7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D06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Phnom Penh (PNH)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78C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4CAFA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4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-31,2%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14B6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5.536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33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-1,8%</w:t>
            </w:r>
          </w:p>
        </w:tc>
      </w:tr>
      <w:tr w:rsidR="006328A6" w:rsidRPr="006328A6" w14:paraId="50EEA48B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B3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Siem Reap (REP)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D3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1692D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DB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-53,4%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D8F77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3.220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E9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-25,6%</w:t>
            </w:r>
          </w:p>
        </w:tc>
      </w:tr>
      <w:tr w:rsidR="006328A6" w:rsidRPr="006328A6" w14:paraId="5A46A02A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4D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Sihanoukville (KOS)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EF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DF4B7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93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-43,5%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8C46F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4B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+85,0%</w:t>
            </w:r>
          </w:p>
        </w:tc>
      </w:tr>
      <w:tr w:rsidR="006328A6" w:rsidRPr="006328A6" w14:paraId="3520D423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35F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84B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F4BF0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1.885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86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-41,5%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F16DA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10.296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64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-4,7%</w:t>
            </w:r>
          </w:p>
        </w:tc>
      </w:tr>
      <w:tr w:rsidR="006328A6" w:rsidRPr="006328A6" w14:paraId="25468416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63A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Sjedinjene Američke Države, </w:t>
            </w: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od kojih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BC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698AF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DF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950CA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A5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3252C179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BF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Orlando-Sanford (SFB)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9F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F990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F4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D8755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3.173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18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+2,7%</w:t>
            </w:r>
          </w:p>
        </w:tc>
      </w:tr>
      <w:tr w:rsidR="006328A6" w:rsidRPr="006328A6" w14:paraId="445D2240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01B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Hollywood Burbank (BUR)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AC9" w14:textId="2AC868E0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BFA5B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C01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-13,4%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E60A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5.746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68B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+8,1%</w:t>
            </w:r>
          </w:p>
        </w:tc>
      </w:tr>
      <w:tr w:rsidR="006328A6" w:rsidRPr="006328A6" w14:paraId="648DBF91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F0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Atlantic City (ACY)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C2D" w14:textId="656C18C3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0FE92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5C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-15,9%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03F41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1.084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973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-7,6%</w:t>
            </w:r>
          </w:p>
        </w:tc>
      </w:tr>
      <w:tr w:rsidR="006328A6" w:rsidRPr="006328A6" w14:paraId="64A1DF3A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C6C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08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D6BF0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1.967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9C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-14,3%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99356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10.003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51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+4,5%</w:t>
            </w:r>
          </w:p>
        </w:tc>
      </w:tr>
      <w:tr w:rsidR="006328A6" w:rsidRPr="006328A6" w14:paraId="735573A2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CC8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400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D768C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CB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E884F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F2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66981505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4D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Salvador (SSA)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0A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AF0B5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2.014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E91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-9,4%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67AF7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7.575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EE4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-6,6%</w:t>
            </w:r>
          </w:p>
        </w:tc>
      </w:tr>
      <w:tr w:rsidR="006328A6" w:rsidRPr="006328A6" w14:paraId="1A9695DC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FBF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7E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5FC37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2.014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AE7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-9,4%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7C1B2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7.575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26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-6,6%</w:t>
            </w:r>
          </w:p>
        </w:tc>
      </w:tr>
      <w:tr w:rsidR="006328A6" w:rsidRPr="006328A6" w14:paraId="1E37CD12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B3C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Srbija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D1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233D5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F1D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90AAE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0C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0021D55B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1C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Beograd (BEG)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95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A4E8F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E2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-10,8%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E61D9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6.047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073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+6,5%</w:t>
            </w:r>
          </w:p>
        </w:tc>
      </w:tr>
      <w:tr w:rsidR="006328A6" w:rsidRPr="006328A6" w14:paraId="75FE41E4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2E4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9C7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A0359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3E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-10,8%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DF86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6.047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D9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+6,5%</w:t>
            </w:r>
          </w:p>
        </w:tc>
      </w:tr>
      <w:tr w:rsidR="006328A6" w:rsidRPr="006328A6" w14:paraId="5975F83E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F73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Dominikanska Republika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(Aerodom), od kojih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E2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BC5D7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D2D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B445C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AD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1D887D1F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B4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Santo Domingo (SDQ)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8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196FB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752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FB750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4.493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37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+13,1%</w:t>
            </w:r>
          </w:p>
        </w:tc>
      </w:tr>
      <w:tr w:rsidR="006328A6" w:rsidRPr="006328A6" w14:paraId="34101B7D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D4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Puerto Plata (POP)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ED6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A7E66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B8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-17,2%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3B13D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C9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-9,4%</w:t>
            </w:r>
          </w:p>
        </w:tc>
      </w:tr>
      <w:tr w:rsidR="006328A6" w:rsidRPr="006328A6" w14:paraId="037420A1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B11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Samana (AZS)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12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01272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B34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-19,3%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13758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CB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-10,7%</w:t>
            </w:r>
          </w:p>
        </w:tc>
      </w:tr>
      <w:tr w:rsidR="006328A6" w:rsidRPr="006328A6" w14:paraId="1ACBE126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E8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La Isabela (JBQ)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A2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92476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40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-2,8%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A5FB6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E7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+42,7%</w:t>
            </w:r>
          </w:p>
        </w:tc>
      </w:tr>
      <w:tr w:rsidR="006328A6" w:rsidRPr="006328A6" w14:paraId="72796CB4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27D4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C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E23B5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560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-6,5%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9284C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5.536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E8B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+8,6%</w:t>
            </w:r>
          </w:p>
        </w:tc>
      </w:tr>
      <w:tr w:rsidR="006328A6" w:rsidRPr="006328A6" w14:paraId="2A826FDF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319F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Švedska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80E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15ACC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409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684D2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439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141EF355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7A5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Stockholm Skavsta (NYO)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AD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88C01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12F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-13,7%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C786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688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+1,5%</w:t>
            </w:r>
          </w:p>
        </w:tc>
      </w:tr>
      <w:tr w:rsidR="006328A6" w:rsidRPr="006328A6" w14:paraId="7F5EBEE1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EE3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72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7693F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F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-13,7%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033F2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955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+1,5%</w:t>
            </w:r>
          </w:p>
        </w:tc>
      </w:tr>
      <w:tr w:rsidR="006328A6" w:rsidRPr="006328A6" w14:paraId="4567B564" w14:textId="77777777" w:rsidTr="006328A6">
        <w:trPr>
          <w:trHeight w:val="28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AD02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Kostarika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C7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B1992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7C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24CE3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4ED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47A9B6A7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4C5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Guanacaste (LIR)</w:t>
            </w:r>
          </w:p>
        </w:tc>
        <w:tc>
          <w:tcPr>
            <w:tcW w:w="7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226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83C02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0F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-4,6%</w:t>
            </w:r>
          </w:p>
        </w:tc>
        <w:tc>
          <w:tcPr>
            <w:tcW w:w="616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ED19F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5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EC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+3,2%</w:t>
            </w:r>
          </w:p>
        </w:tc>
      </w:tr>
      <w:tr w:rsidR="006328A6" w:rsidRPr="006328A6" w14:paraId="71E9BBFD" w14:textId="77777777" w:rsidTr="006328A6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FB22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8B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6FBDD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AB0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-4,6%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54893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489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+3,2%</w:t>
            </w:r>
          </w:p>
        </w:tc>
      </w:tr>
      <w:tr w:rsidR="006328A6" w:rsidRPr="006328A6" w14:paraId="7441E8AD" w14:textId="77777777" w:rsidTr="006328A6">
        <w:trPr>
          <w:trHeight w:val="330"/>
        </w:trPr>
        <w:tc>
          <w:tcPr>
            <w:tcW w:w="17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C68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UoU*: Ugovor o upravljanju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F5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8A2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D8C6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E711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76C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</w:tr>
      <w:tr w:rsidR="006328A6" w:rsidRPr="006328A6" w14:paraId="28AEF509" w14:textId="77777777" w:rsidTr="006328A6">
        <w:trPr>
          <w:trHeight w:val="10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B29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68A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1363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BFA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CCF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F5C3" w14:textId="77777777" w:rsidR="00E60242" w:rsidRPr="006328A6" w:rsidRDefault="00E60242" w:rsidP="00915625">
            <w:pPr>
              <w:jc w:val="center"/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</w:tr>
      <w:tr w:rsidR="006328A6" w:rsidRPr="006328A6" w14:paraId="03A08769" w14:textId="77777777" w:rsidTr="006328A6">
        <w:trPr>
          <w:trHeight w:val="570"/>
        </w:trPr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0C7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 VINCI Airports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93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i/>
                <w:iCs/>
                <w:color w:val="000000"/>
              </w:rPr>
            </w:pPr>
            <w:r w:rsidRPr="006328A6">
              <w:rPr>
                <w:rFonts w:ascii="Vinci" w:hAnsi="Vinci"/>
                <w:i/>
                <w:iCs/>
                <w:color w:val="000000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766B1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45.287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4BE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-20,9%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CAF03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242.858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BEF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-0,7%</w:t>
            </w:r>
          </w:p>
        </w:tc>
      </w:tr>
    </w:tbl>
    <w:p w14:paraId="074E475B" w14:textId="77777777" w:rsidR="001216E9" w:rsidRPr="001216E9" w:rsidRDefault="001216E9" w:rsidP="001216E9">
      <w:pPr>
        <w:kinsoku w:val="0"/>
        <w:overflowPunct w:val="0"/>
        <w:spacing w:line="243" w:lineRule="exact"/>
        <w:ind w:left="800"/>
        <w:rPr>
          <w:rFonts w:ascii="Vinci" w:hAnsi="Vinci" w:cs="Vinci Sans"/>
          <w:b/>
          <w:bCs/>
          <w:spacing w:val="-1"/>
          <w:sz w:val="20"/>
        </w:rPr>
      </w:pPr>
    </w:p>
    <w:p w14:paraId="44C73EFE" w14:textId="0629A93D" w:rsidR="00E60242" w:rsidRPr="006328A6" w:rsidRDefault="00E60242" w:rsidP="00E60242">
      <w:pPr>
        <w:numPr>
          <w:ilvl w:val="0"/>
          <w:numId w:val="25"/>
        </w:numPr>
        <w:kinsoku w:val="0"/>
        <w:overflowPunct w:val="0"/>
        <w:spacing w:line="243" w:lineRule="exact"/>
        <w:rPr>
          <w:rFonts w:ascii="Vinci" w:hAnsi="Vinci" w:cs="Vinci Sans"/>
          <w:b/>
          <w:bCs/>
          <w:spacing w:val="-1"/>
          <w:sz w:val="20"/>
        </w:rPr>
      </w:pPr>
      <w:r w:rsidRPr="006328A6">
        <w:rPr>
          <w:rFonts w:ascii="Vinci" w:hAnsi="Vinci"/>
          <w:b/>
          <w:bCs/>
          <w:sz w:val="20"/>
        </w:rPr>
        <w:lastRenderedPageBreak/>
        <w:t>Broj komercijalnih letova po aerodromu</w:t>
      </w:r>
    </w:p>
    <w:p w14:paraId="2AC8640D" w14:textId="77777777" w:rsidR="00E60242" w:rsidRPr="006328A6" w:rsidRDefault="00E60242" w:rsidP="00E60242">
      <w:pPr>
        <w:kinsoku w:val="0"/>
        <w:overflowPunct w:val="0"/>
        <w:spacing w:line="243" w:lineRule="exact"/>
        <w:rPr>
          <w:rFonts w:ascii="Vinci" w:hAnsi="Vinci" w:cs="Vinci Sans"/>
          <w:b/>
          <w:bCs/>
          <w:spacing w:val="-2"/>
          <w:sz w:val="20"/>
          <w:lang w:val="en-GB"/>
        </w:rPr>
      </w:pPr>
    </w:p>
    <w:tbl>
      <w:tblPr>
        <w:tblW w:w="52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081"/>
        <w:gridCol w:w="1060"/>
        <w:gridCol w:w="1388"/>
        <w:gridCol w:w="1074"/>
        <w:gridCol w:w="901"/>
      </w:tblGrid>
      <w:tr w:rsidR="006328A6" w:rsidRPr="006328A6" w14:paraId="122B65F3" w14:textId="77777777" w:rsidTr="006328A6">
        <w:trPr>
          <w:trHeight w:val="1191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0F07" w14:textId="77777777" w:rsidR="00E60242" w:rsidRPr="006328A6" w:rsidRDefault="00E60242" w:rsidP="00915625">
            <w:pPr>
              <w:rPr>
                <w:rFonts w:ascii="Vinci" w:eastAsia="Times New Roman" w:hAnsi="Vinci"/>
                <w:i/>
                <w:i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Komercijalni letovi (Broj avio-operacija)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43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Udeo VINCI Airports (%)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496A38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Prvo tromesečje 2020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EF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t>Promena Prvo tromesečje  2020/</w:t>
            </w:r>
            <w:r w:rsidRPr="006328A6">
              <w:rPr>
                <w:rFonts w:ascii="Vinci" w:hAnsi="Vinci"/>
                <w:b/>
                <w:bCs/>
                <w:color w:val="000000"/>
                <w:sz w:val="18"/>
                <w:szCs w:val="18"/>
              </w:rPr>
              <w:br/>
              <w:t>Prvo tromesečje  2019 (%)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3A6F81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color w:val="000000"/>
                <w:sz w:val="18"/>
                <w:szCs w:val="18"/>
              </w:rPr>
              <w:t>12 uzastopnih</w:t>
            </w:r>
            <w:r w:rsidRPr="006328A6">
              <w:rPr>
                <w:rFonts w:ascii="Vinci" w:hAnsi="Vinci"/>
                <w:color w:val="000000"/>
                <w:sz w:val="18"/>
                <w:szCs w:val="18"/>
              </w:rPr>
              <w:br/>
              <w:t>meseci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1F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18"/>
                <w:szCs w:val="18"/>
              </w:rPr>
            </w:pPr>
            <w:r w:rsidRPr="006328A6">
              <w:rPr>
                <w:rFonts w:ascii="Vinci" w:hAnsi="Vinci"/>
                <w:color w:val="000000"/>
                <w:sz w:val="18"/>
                <w:szCs w:val="18"/>
              </w:rPr>
              <w:t>Godišnja promena (%)</w:t>
            </w:r>
          </w:p>
        </w:tc>
      </w:tr>
      <w:tr w:rsidR="006328A6" w:rsidRPr="006328A6" w14:paraId="1C247FE6" w14:textId="77777777" w:rsidTr="006328A6">
        <w:trPr>
          <w:trHeight w:val="28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D99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Portugalija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(ANA), od kojih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10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FE598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AE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7E7D8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2E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38EF10C9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52D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Lisbon (LIS)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24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23322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42.476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EB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-10,5%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6A12D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212.729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C7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-0,7%</w:t>
            </w:r>
          </w:p>
        </w:tc>
      </w:tr>
      <w:tr w:rsidR="006328A6" w:rsidRPr="006328A6" w14:paraId="5EBF851F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12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Porto (OPO)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A7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B0F82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18.233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07E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-10,6%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94D59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94.372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C2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+1,4%</w:t>
            </w:r>
          </w:p>
        </w:tc>
      </w:tr>
      <w:tr w:rsidR="006328A6" w:rsidRPr="006328A6" w14:paraId="339F3ABB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F1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Faro (FAO)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19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52620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5.728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50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-20,6%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F16F4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57.298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8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-1,2%</w:t>
            </w:r>
          </w:p>
        </w:tc>
      </w:tr>
      <w:tr w:rsidR="006328A6" w:rsidRPr="006328A6" w14:paraId="06886F50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BB3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Madeira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351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000E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5.049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3E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-16,0%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DEA05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25.106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62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-7,4%</w:t>
            </w:r>
          </w:p>
        </w:tc>
      </w:tr>
      <w:tr w:rsidR="006328A6" w:rsidRPr="006328A6" w14:paraId="2EBCF3B5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2AD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Azores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CA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74C42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4.754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664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-13,2%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80A9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28.776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1E9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+0,3%</w:t>
            </w:r>
          </w:p>
        </w:tc>
      </w:tr>
      <w:tr w:rsidR="006328A6" w:rsidRPr="006328A6" w14:paraId="725E5522" w14:textId="77777777" w:rsidTr="006328A6">
        <w:trPr>
          <w:trHeight w:val="283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09A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01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FADCE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76.258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7F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-11,9%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7CF83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418.385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8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-0,7%</w:t>
            </w:r>
          </w:p>
        </w:tc>
      </w:tr>
      <w:tr w:rsidR="006328A6" w:rsidRPr="006328A6" w14:paraId="22A2E7DD" w14:textId="77777777" w:rsidTr="006328A6">
        <w:trPr>
          <w:trHeight w:val="28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3B6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Ujedinjeno Kraljevstvo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86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EAEFC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057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C6DF2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A0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7198E048" w14:textId="77777777" w:rsidTr="006328A6">
        <w:trPr>
          <w:trHeight w:val="30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86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London Gatwick (LGW)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6C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4D5AA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50.130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E3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-18,1%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4C4E0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269.548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A0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-4,3%</w:t>
            </w:r>
          </w:p>
        </w:tc>
      </w:tr>
      <w:tr w:rsidR="006328A6" w:rsidRPr="006328A6" w14:paraId="5383865C" w14:textId="77777777" w:rsidTr="006328A6">
        <w:trPr>
          <w:trHeight w:val="30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70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Belfast (BFS)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3E8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94E33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8.976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84F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-20,9%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E62AC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46.789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5B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-6,8%</w:t>
            </w:r>
          </w:p>
        </w:tc>
      </w:tr>
      <w:tr w:rsidR="006328A6" w:rsidRPr="006328A6" w14:paraId="1ECF2779" w14:textId="77777777" w:rsidTr="006328A6">
        <w:trPr>
          <w:trHeight w:val="283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4D0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7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4FC70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59.106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EB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-18,6%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10989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316.337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EAD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-4,7%</w:t>
            </w:r>
          </w:p>
        </w:tc>
      </w:tr>
      <w:tr w:rsidR="006328A6" w:rsidRPr="006328A6" w14:paraId="70014CF7" w14:textId="77777777" w:rsidTr="006328A6">
        <w:trPr>
          <w:trHeight w:val="28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4D1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Japan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(Kansai Airports)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0D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C2594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CE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1026B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66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7C5F6630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C7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Kansai (KIX)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B8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146B8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39.187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3B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-21,5%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CE27F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196.021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23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+3,4%</w:t>
            </w:r>
          </w:p>
        </w:tc>
      </w:tr>
      <w:tr w:rsidR="006328A6" w:rsidRPr="006328A6" w14:paraId="394650A2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2BDB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Itami (ITM)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6A7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A4457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32.893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E0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-3,0%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37E04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137.429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82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-0,6%</w:t>
            </w:r>
          </w:p>
        </w:tc>
      </w:tr>
      <w:tr w:rsidR="006328A6" w:rsidRPr="006328A6" w14:paraId="73174CEA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B1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Kobe (UKB)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D3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D5545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8.537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CA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+20,2%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50FBE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32.825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BFE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+11,3%</w:t>
            </w:r>
          </w:p>
        </w:tc>
      </w:tr>
      <w:tr w:rsidR="006328A6" w:rsidRPr="006328A6" w14:paraId="57E390CA" w14:textId="77777777" w:rsidTr="006328A6">
        <w:trPr>
          <w:trHeight w:val="283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AAF6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63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27E16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80.617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17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-11,4%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1384E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366.275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82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+2,5%</w:t>
            </w:r>
          </w:p>
        </w:tc>
      </w:tr>
      <w:tr w:rsidR="006328A6" w:rsidRPr="006328A6" w14:paraId="420C36C7" w14:textId="77777777" w:rsidTr="006328A6">
        <w:trPr>
          <w:trHeight w:val="28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94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Čile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 (Nuevo Pudahuel)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25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EDE79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F6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C9CFA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7A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2CFE9DFC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E97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Santiago (SCL)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FF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DA286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39.112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F1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-11,8%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E3D38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151.981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8C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-2,0%</w:t>
            </w:r>
          </w:p>
        </w:tc>
      </w:tr>
      <w:tr w:rsidR="006328A6" w:rsidRPr="006328A6" w14:paraId="462BC41D" w14:textId="77777777" w:rsidTr="006328A6">
        <w:trPr>
          <w:trHeight w:val="283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168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9D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3E763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39.112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AD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-11,8%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F44B1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151.981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D2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-2,0%</w:t>
            </w:r>
          </w:p>
        </w:tc>
      </w:tr>
      <w:tr w:rsidR="006328A6" w:rsidRPr="006328A6" w14:paraId="3517A500" w14:textId="77777777" w:rsidTr="006328A6">
        <w:trPr>
          <w:trHeight w:val="28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04F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Francuska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D0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D94D1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DB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335E4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05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6328A6" w:rsidRPr="006328A6" w14:paraId="4549DF0A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CCC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Lyon-Saint Exupéry (LYS) &amp; Lyon-Bron (LYN)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86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AD4BD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23.846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4F1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-17,4%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3D48F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117.371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D5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-5,0%</w:t>
            </w:r>
          </w:p>
        </w:tc>
      </w:tr>
      <w:tr w:rsidR="006328A6" w:rsidRPr="006328A6" w14:paraId="381AAFD4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A86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Nantes Atlantique (NTE)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2F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F0BBB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10.941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6C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-11,2%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7C9D0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61.833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13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+4,5%</w:t>
            </w:r>
          </w:p>
        </w:tc>
      </w:tr>
      <w:tr w:rsidR="006328A6" w:rsidRPr="006328A6" w14:paraId="50265F54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AB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Saint-Nazaire Montoir (SNR)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5C8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A6154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97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+3,5%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5A9D5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CD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+0,0%</w:t>
            </w:r>
          </w:p>
        </w:tc>
      </w:tr>
      <w:tr w:rsidR="006328A6" w:rsidRPr="006328A6" w14:paraId="06F7CDCA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F09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Rennes Bretagne (RNS)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08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70807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CB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-40,6%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7EE23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11.966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8E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-9,8%</w:t>
            </w:r>
          </w:p>
        </w:tc>
      </w:tr>
      <w:tr w:rsidR="006328A6" w:rsidRPr="006328A6" w14:paraId="64759659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7D9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Dinard Bretagne (DNR)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24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9E4F8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49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-24,2%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E9462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63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-15,4%</w:t>
            </w:r>
          </w:p>
        </w:tc>
      </w:tr>
      <w:tr w:rsidR="006328A6" w:rsidRPr="006328A6" w14:paraId="1E421F66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84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Grenoble Alpes Isère (GNB)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E3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66A0A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2.478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DD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-6,3%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6CC76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3.704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CC1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-9,1%</w:t>
            </w:r>
          </w:p>
        </w:tc>
      </w:tr>
      <w:tr w:rsidR="006328A6" w:rsidRPr="006328A6" w14:paraId="042BB480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BA2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Chambéry Savoie Mont Blanc (CMF)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9CC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EB54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3.672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EB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-16,5%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17258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6.125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EC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-11,3%</w:t>
            </w:r>
          </w:p>
        </w:tc>
      </w:tr>
      <w:tr w:rsidR="006328A6" w:rsidRPr="006328A6" w14:paraId="584AA844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B90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Toulon Hyères (TLN)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B7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77915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D4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-23,3%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D8158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10.732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017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-6,5%</w:t>
            </w:r>
          </w:p>
        </w:tc>
      </w:tr>
      <w:tr w:rsidR="006328A6" w:rsidRPr="006328A6" w14:paraId="1E41FB50" w14:textId="77777777" w:rsidTr="006328A6">
        <w:trPr>
          <w:trHeight w:val="330"/>
        </w:trPr>
        <w:tc>
          <w:tcPr>
            <w:tcW w:w="21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0C7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Clermont Ferrand Auvergne (CFE)</w:t>
            </w: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5AA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D739D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FE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-18,9%</w:t>
            </w:r>
          </w:p>
        </w:tc>
        <w:tc>
          <w:tcPr>
            <w:tcW w:w="570" w:type="pct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DB3A4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8.707</w:t>
            </w:r>
          </w:p>
        </w:tc>
        <w:tc>
          <w:tcPr>
            <w:tcW w:w="4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08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-6,9%</w:t>
            </w:r>
          </w:p>
        </w:tc>
      </w:tr>
      <w:tr w:rsidR="006328A6" w:rsidRPr="006328A6" w14:paraId="05DC16CF" w14:textId="77777777" w:rsidTr="006328A6">
        <w:trPr>
          <w:trHeight w:val="283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109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03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65380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46.427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D5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-16,8%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BE27B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223.327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79E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-3,3%</w:t>
            </w:r>
          </w:p>
        </w:tc>
      </w:tr>
    </w:tbl>
    <w:p w14:paraId="6763B879" w14:textId="77777777" w:rsidR="00E60242" w:rsidRPr="006328A6" w:rsidRDefault="00E60242" w:rsidP="00E60242">
      <w:pPr>
        <w:pStyle w:val="ListParagraph"/>
        <w:kinsoku w:val="0"/>
        <w:overflowPunct w:val="0"/>
        <w:spacing w:line="243" w:lineRule="exact"/>
        <w:ind w:left="800"/>
        <w:rPr>
          <w:rFonts w:ascii="Vinci" w:hAnsi="Vinci" w:cs="Vinci Sans"/>
          <w:b/>
          <w:bCs/>
          <w:spacing w:val="-2"/>
          <w:sz w:val="20"/>
          <w:lang w:val="en-GB"/>
        </w:rPr>
      </w:pPr>
    </w:p>
    <w:tbl>
      <w:tblPr>
        <w:tblW w:w="53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52"/>
        <w:gridCol w:w="1260"/>
        <w:gridCol w:w="1800"/>
        <w:gridCol w:w="1168"/>
        <w:gridCol w:w="992"/>
      </w:tblGrid>
      <w:tr w:rsidR="00E60242" w:rsidRPr="006328A6" w14:paraId="36169A1F" w14:textId="77777777" w:rsidTr="00D00035">
        <w:trPr>
          <w:trHeight w:val="1191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D96A" w14:textId="2411E8FC" w:rsidR="00E60242" w:rsidRPr="006328A6" w:rsidRDefault="00E60242" w:rsidP="00915625">
            <w:pPr>
              <w:rPr>
                <w:rFonts w:ascii="Vinci" w:eastAsia="Times New Roman" w:hAnsi="Vinci"/>
                <w:i/>
                <w:i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lastRenderedPageBreak/>
              <w:t>Komercijalni letovi</w:t>
            </w:r>
            <w:r w:rsidR="00D00035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br/>
            </w: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(Broj avio-operacija)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993" w14:textId="77777777" w:rsidR="006328A6" w:rsidRDefault="00E60242" w:rsidP="00915625">
            <w:pPr>
              <w:jc w:val="center"/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Udeo VINCI</w:t>
            </w:r>
          </w:p>
          <w:p w14:paraId="23A9A115" w14:textId="1268982B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Airports (%)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9579E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Prvo tromesečje 2020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DA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Promena Prvo tromesečje  2020/</w:t>
            </w: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br/>
              <w:t>Prvo tromesečje  2019 (%)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D45CED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12 uzastopnih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br/>
              <w:t>meseci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3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Godišnja promena (%)</w:t>
            </w:r>
          </w:p>
        </w:tc>
      </w:tr>
      <w:tr w:rsidR="00E60242" w:rsidRPr="006328A6" w14:paraId="2C8DEBE9" w14:textId="77777777" w:rsidTr="00D00035">
        <w:trPr>
          <w:trHeight w:val="28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D4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Kambodža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 xml:space="preserve"> (Aerodromi Kambodže)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2AB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8773D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6C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FA331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DD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20901447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79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Phnom Penh (PNH)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CDD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F515E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11.847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19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-14,5%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1F35A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54.004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59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+1,4%</w:t>
            </w:r>
          </w:p>
        </w:tc>
      </w:tr>
      <w:tr w:rsidR="00E60242" w:rsidRPr="006328A6" w14:paraId="2D65FCB6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E61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Siem Reap (REP)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25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EB917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7.465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C6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-39,5%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A189E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34.878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06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-19,2%</w:t>
            </w:r>
          </w:p>
        </w:tc>
      </w:tr>
      <w:tr w:rsidR="00E60242" w:rsidRPr="006328A6" w14:paraId="6E5415E5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9BEC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Sihanoukville (KOS)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835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B9ECA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F3F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-29,9%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183BE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16.773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49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+71,9%</w:t>
            </w:r>
          </w:p>
        </w:tc>
      </w:tr>
      <w:tr w:rsidR="00E60242" w:rsidRPr="006328A6" w14:paraId="05B98C4D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65E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378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0E5B6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21.781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A5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-26,7%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656CB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105.655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28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-0,5%</w:t>
            </w:r>
          </w:p>
        </w:tc>
      </w:tr>
      <w:tr w:rsidR="00E60242" w:rsidRPr="006328A6" w14:paraId="644B9FEB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079E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Sjedinjene Američke Države, </w:t>
            </w:r>
            <w:r w:rsidRPr="006328A6">
              <w:rPr>
                <w:rFonts w:ascii="Vinci" w:hAnsi="Vinci"/>
                <w:i/>
                <w:iCs/>
                <w:color w:val="000000"/>
                <w:sz w:val="20"/>
                <w:szCs w:val="20"/>
              </w:rPr>
              <w:t>od kojih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013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990FD3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2A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C900A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EA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5726A223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D483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Orlando-Sanford (SFB)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6CC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5CB0D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5.445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17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-6,8%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88A64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23.971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EA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+6,7%</w:t>
            </w:r>
          </w:p>
        </w:tc>
      </w:tr>
      <w:tr w:rsidR="00E60242" w:rsidRPr="006328A6" w14:paraId="39C4180E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38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Hollywood Burbank (BUR)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193" w14:textId="60F11E5B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0134F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30.913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96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CA4D9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144.190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B4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+8,5%</w:t>
            </w:r>
          </w:p>
        </w:tc>
      </w:tr>
      <w:tr w:rsidR="00E60242" w:rsidRPr="006328A6" w14:paraId="61EF75E8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C33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Atlantic City (ACY)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F592" w14:textId="1D266F90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FEC21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DA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-3,4%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3E828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8.033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F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-4,3%</w:t>
            </w:r>
          </w:p>
        </w:tc>
      </w:tr>
      <w:tr w:rsidR="00E60242" w:rsidRPr="006328A6" w14:paraId="1AB847D6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1D1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54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11C3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38.506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68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-6,7%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6C794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176.194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15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+7,6%</w:t>
            </w:r>
          </w:p>
        </w:tc>
      </w:tr>
      <w:tr w:rsidR="00E60242" w:rsidRPr="006328A6" w14:paraId="5D360C5F" w14:textId="77777777" w:rsidTr="00D00035">
        <w:trPr>
          <w:trHeight w:val="28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D42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F8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4B19D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FF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4AF6C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25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55E1EBCB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7306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Salvador (SSA)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73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A780A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19.774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90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-6,7%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76DC6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76.869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4B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-5,2%</w:t>
            </w:r>
          </w:p>
        </w:tc>
      </w:tr>
      <w:tr w:rsidR="00E60242" w:rsidRPr="006328A6" w14:paraId="74DEB439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AC00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35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5477D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19.774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69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-6,7%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5550C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76.869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B7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-5,2%</w:t>
            </w:r>
          </w:p>
        </w:tc>
      </w:tr>
      <w:tr w:rsidR="00E60242" w:rsidRPr="006328A6" w14:paraId="0DF262AC" w14:textId="77777777" w:rsidTr="00D00035">
        <w:trPr>
          <w:trHeight w:val="28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70B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Srbija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0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41780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CA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6B649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C4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10BD9F94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20C6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Beograd (BEG)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FE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F3925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12.362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621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-8,9%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5C70B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69.158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89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+2,1%</w:t>
            </w:r>
          </w:p>
        </w:tc>
      </w:tr>
      <w:tr w:rsidR="00E60242" w:rsidRPr="006328A6" w14:paraId="216C7111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A3A4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13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7CF86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12.362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F3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-8,9%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779C5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69.158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32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+2,1%</w:t>
            </w:r>
          </w:p>
        </w:tc>
      </w:tr>
      <w:tr w:rsidR="00E60242" w:rsidRPr="006328A6" w14:paraId="4AC4DEE0" w14:textId="77777777" w:rsidTr="00D00035">
        <w:trPr>
          <w:trHeight w:val="28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12E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 xml:space="preserve">Dominikanska Republika </w:t>
            </w: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(Aerodom), od kojih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0E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285D0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0A6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4A972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BF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007685DE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50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Santo Domingo (SDQ)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60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C6C48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9.885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3E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-3,2%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57CF5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42.984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ED5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+9,7%</w:t>
            </w:r>
          </w:p>
        </w:tc>
      </w:tr>
      <w:tr w:rsidR="00E60242" w:rsidRPr="006328A6" w14:paraId="6550A719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5F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Puerto Plata (POP)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67B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A7430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1.849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CE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-21,2%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C7D5A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5.707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C8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-11,1%</w:t>
            </w:r>
          </w:p>
        </w:tc>
      </w:tr>
      <w:tr w:rsidR="00E60242" w:rsidRPr="006328A6" w14:paraId="04482E91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50A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Samana (AZS)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D3F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74F0D9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8D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-26,1%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EA8F7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B2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-14,3%</w:t>
            </w:r>
          </w:p>
        </w:tc>
      </w:tr>
      <w:tr w:rsidR="00E60242" w:rsidRPr="006328A6" w14:paraId="52A87F48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C6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La Isabela (JBQ)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E7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41A90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2.065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D75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-20,6%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984E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8.998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29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-0,3%</w:t>
            </w:r>
          </w:p>
        </w:tc>
      </w:tr>
      <w:tr w:rsidR="00E60242" w:rsidRPr="006328A6" w14:paraId="69CCAFF0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CFE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BF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3C25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14.201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6C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-9,9%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81C26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59.047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3E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+4,4%</w:t>
            </w:r>
          </w:p>
        </w:tc>
      </w:tr>
      <w:tr w:rsidR="00E60242" w:rsidRPr="006328A6" w14:paraId="303F86FE" w14:textId="77777777" w:rsidTr="00D00035">
        <w:trPr>
          <w:trHeight w:val="28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96B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Švedska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8E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3909A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62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770FA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F0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740D5746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AA1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Stockholm Skavsta (NYO)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97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B3F05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2.545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77AB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-5,6%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56BAF5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14.036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8B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+1,8%</w:t>
            </w:r>
          </w:p>
        </w:tc>
      </w:tr>
      <w:tr w:rsidR="00E60242" w:rsidRPr="006328A6" w14:paraId="4C23A9E3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4B4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30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F8570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2.545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5AB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-5,6%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B8210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14.036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D3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+1,8%</w:t>
            </w:r>
          </w:p>
        </w:tc>
      </w:tr>
      <w:tr w:rsidR="00E60242" w:rsidRPr="006328A6" w14:paraId="4EA00940" w14:textId="77777777" w:rsidTr="00D00035">
        <w:trPr>
          <w:trHeight w:val="28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34F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Kostarika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903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ACFB1E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C2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E8A360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C38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</w:tr>
      <w:tr w:rsidR="00E60242" w:rsidRPr="006328A6" w14:paraId="16710303" w14:textId="77777777" w:rsidTr="00D00035">
        <w:trPr>
          <w:trHeight w:val="30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BF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Guanacaste (LIR)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37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20A8C4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4.358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568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-6,8%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C00F8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13.642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421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+2,6%</w:t>
            </w:r>
          </w:p>
        </w:tc>
      </w:tr>
      <w:tr w:rsidR="00E60242" w:rsidRPr="006328A6" w14:paraId="78E3321C" w14:textId="77777777" w:rsidTr="00D00035">
        <w:trPr>
          <w:trHeight w:val="283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895" w14:textId="77777777" w:rsidR="00E60242" w:rsidRPr="006328A6" w:rsidRDefault="00E60242" w:rsidP="00915625">
            <w:pPr>
              <w:ind w:firstLineChars="100" w:firstLine="201"/>
              <w:jc w:val="right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4257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CBBEA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4.358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53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-6,8%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649452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13.642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B7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+2,6%</w:t>
            </w:r>
          </w:p>
        </w:tc>
      </w:tr>
      <w:tr w:rsidR="00E60242" w:rsidRPr="006328A6" w14:paraId="4A14C0BE" w14:textId="77777777" w:rsidTr="00D00035">
        <w:trPr>
          <w:trHeight w:val="330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44FF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color w:val="000000"/>
                <w:sz w:val="20"/>
                <w:szCs w:val="20"/>
              </w:rPr>
              <w:t>UoU*: Ugovor o upravljanju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8F8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63B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B441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DE4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</w:rPr>
            </w:pPr>
            <w:r w:rsidRPr="006328A6">
              <w:rPr>
                <w:rFonts w:ascii="Vinci" w:hAnsi="Vinci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1A39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</w:rPr>
            </w:pPr>
            <w:r w:rsidRPr="006328A6">
              <w:rPr>
                <w:rFonts w:ascii="Vinci" w:hAnsi="Vinci"/>
                <w:color w:val="000000"/>
              </w:rPr>
              <w:t> </w:t>
            </w:r>
          </w:p>
        </w:tc>
      </w:tr>
      <w:tr w:rsidR="00E60242" w:rsidRPr="006328A6" w14:paraId="3B096A45" w14:textId="77777777" w:rsidTr="00D00035">
        <w:trPr>
          <w:trHeight w:val="10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02B" w14:textId="77777777" w:rsidR="00E60242" w:rsidRPr="006328A6" w:rsidRDefault="00E60242" w:rsidP="00915625">
            <w:pPr>
              <w:rPr>
                <w:rFonts w:ascii="Vinci" w:eastAsia="Times New Roman" w:hAnsi="Vinci"/>
                <w:color w:val="000000"/>
                <w:lang w:val="en-GB" w:eastAsia="fr-F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E9D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155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FA9E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6D7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EF8" w14:textId="77777777" w:rsidR="00E60242" w:rsidRPr="006328A6" w:rsidRDefault="00E60242" w:rsidP="00915625">
            <w:pPr>
              <w:rPr>
                <w:rFonts w:ascii="Vinci" w:eastAsia="Times New Roman" w:hAnsi="Vinci" w:cs="Times New Roman"/>
                <w:sz w:val="20"/>
                <w:szCs w:val="20"/>
                <w:lang w:val="en-GB" w:eastAsia="fr-FR"/>
              </w:rPr>
            </w:pPr>
          </w:p>
        </w:tc>
      </w:tr>
      <w:tr w:rsidR="00E60242" w:rsidRPr="006328A6" w14:paraId="39635067" w14:textId="77777777" w:rsidTr="00D00035">
        <w:trPr>
          <w:trHeight w:val="570"/>
        </w:trPr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B60" w14:textId="77777777" w:rsidR="00E60242" w:rsidRPr="006328A6" w:rsidRDefault="00E60242" w:rsidP="00915625">
            <w:pPr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Ukupno VINCI Airports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890" w14:textId="77777777" w:rsidR="00E60242" w:rsidRPr="006328A6" w:rsidRDefault="00E60242" w:rsidP="00915625">
            <w:pPr>
              <w:rPr>
                <w:rFonts w:ascii="Vinci" w:eastAsia="Times New Roman" w:hAnsi="Vinci"/>
                <w:i/>
                <w:iCs/>
                <w:color w:val="000000"/>
              </w:rPr>
            </w:pPr>
            <w:r w:rsidRPr="006328A6">
              <w:rPr>
                <w:rFonts w:ascii="Vinci" w:hAnsi="Vinci"/>
                <w:i/>
                <w:iCs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DE6B5C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415.047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9A76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-13,4%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378C3D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1.990.906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BE52A" w14:textId="77777777" w:rsidR="00E60242" w:rsidRPr="006328A6" w:rsidRDefault="00E60242" w:rsidP="00915625">
            <w:pPr>
              <w:jc w:val="center"/>
              <w:rPr>
                <w:rFonts w:ascii="Vinci" w:eastAsia="Times New Roman" w:hAnsi="Vinci"/>
                <w:b/>
                <w:bCs/>
                <w:color w:val="000000"/>
                <w:sz w:val="20"/>
                <w:szCs w:val="20"/>
              </w:rPr>
            </w:pPr>
            <w:r w:rsidRPr="006328A6">
              <w:rPr>
                <w:rFonts w:ascii="Vinci" w:hAnsi="Vinci"/>
                <w:b/>
                <w:bCs/>
                <w:color w:val="000000"/>
                <w:sz w:val="20"/>
                <w:szCs w:val="20"/>
              </w:rPr>
              <w:t>-0,4%</w:t>
            </w:r>
          </w:p>
        </w:tc>
      </w:tr>
    </w:tbl>
    <w:p w14:paraId="5B17BFAD" w14:textId="77777777" w:rsidR="00347B14" w:rsidRPr="006328A6" w:rsidRDefault="00347B14" w:rsidP="00347B14">
      <w:pPr>
        <w:autoSpaceDE w:val="0"/>
        <w:autoSpaceDN w:val="0"/>
        <w:adjustRightInd w:val="0"/>
        <w:jc w:val="both"/>
        <w:rPr>
          <w:rStyle w:val="Hyperlink"/>
          <w:rFonts w:ascii="Vinci" w:hAnsi="Vinci" w:cs="Arial"/>
          <w:iCs/>
          <w:color w:val="3366FF"/>
          <w:sz w:val="18"/>
          <w:szCs w:val="18"/>
          <w:lang w:val="en-GB"/>
        </w:rPr>
      </w:pPr>
    </w:p>
    <w:sectPr w:rsidR="00347B14" w:rsidRPr="006328A6" w:rsidSect="006328A6">
      <w:headerReference w:type="default" r:id="rId12"/>
      <w:footerReference w:type="default" r:id="rId13"/>
      <w:pgSz w:w="11900" w:h="16840"/>
      <w:pgMar w:top="1417" w:right="1417" w:bottom="19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8938" w14:textId="77777777" w:rsidR="00F341E1" w:rsidRDefault="00F341E1" w:rsidP="00F47B52">
      <w:r>
        <w:separator/>
      </w:r>
    </w:p>
  </w:endnote>
  <w:endnote w:type="continuationSeparator" w:id="0">
    <w:p w14:paraId="3BBD6CFB" w14:textId="77777777" w:rsidR="00F341E1" w:rsidRDefault="00F341E1" w:rsidP="00F4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nciSans">
    <w:charset w:val="4D"/>
    <w:family w:val="auto"/>
    <w:pitch w:val="variable"/>
    <w:sig w:usb0="A00000AF" w:usb1="4000205B" w:usb2="00000000" w:usb3="00000000" w:csb0="0000009B" w:csb1="00000000"/>
  </w:font>
  <w:font w:name="Vinci Sans">
    <w:altName w:val="Calibri"/>
    <w:charset w:val="00"/>
    <w:family w:val="auto"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ci">
    <w:altName w:val="Cambria"/>
    <w:panose1 w:val="00000000000000000000"/>
    <w:charset w:val="00"/>
    <w:family w:val="roman"/>
    <w:notTrueType/>
    <w:pitch w:val="default"/>
  </w:font>
  <w:font w:name="VinciSans-Light">
    <w:altName w:val="Vinci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64C8" w14:textId="03FBB409" w:rsidR="006328A6" w:rsidRPr="00E81CD1" w:rsidRDefault="006328A6" w:rsidP="00B12228">
    <w:pPr>
      <w:jc w:val="both"/>
      <w:rPr>
        <w:rFonts w:ascii="Vinci Sans" w:eastAsia="Vinci Sans" w:hAnsi="Vinci Sans" w:cs="Vinci Sans"/>
        <w:i/>
        <w:color w:val="4C4E4B"/>
        <w:sz w:val="16"/>
        <w:szCs w:val="16"/>
      </w:rPr>
    </w:pPr>
    <w:r>
      <w:rPr>
        <w:rFonts w:ascii="Vinci Sans" w:hAnsi="Vinci Sans"/>
        <w:i/>
        <w:noProof/>
        <w:color w:val="4C4E4B"/>
        <w:sz w:val="16"/>
        <w:szCs w:val="16"/>
        <w:lang w:val="en-GB" w:eastAsia="zh-CN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3667D4" wp14:editId="6913253D">
              <wp:simplePos x="0" y="0"/>
              <wp:positionH relativeFrom="column">
                <wp:posOffset>3708862</wp:posOffset>
              </wp:positionH>
              <wp:positionV relativeFrom="paragraph">
                <wp:posOffset>-479425</wp:posOffset>
              </wp:positionV>
              <wp:extent cx="2689167" cy="1097280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9167" cy="1097280"/>
                        <a:chOff x="0" y="0"/>
                        <a:chExt cx="2689167" cy="1097280"/>
                      </a:xfrm>
                    </wpg:grpSpPr>
                    <wps:wsp>
                      <wps:cNvPr id="15" name="Zone de texte 15"/>
                      <wps:cNvSpPr txBox="1">
                        <a:spLocks/>
                      </wps:cNvSpPr>
                      <wps:spPr>
                        <a:xfrm>
                          <a:off x="631767" y="18288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34F4FA" w14:textId="77777777" w:rsidR="006328A6" w:rsidRDefault="006328A6" w:rsidP="00B12228">
                            <w:pPr>
                              <w:jc w:val="right"/>
                              <w:rPr>
                                <w:rFonts w:ascii="Vinci Sans" w:hAnsi="Vinci Sans"/>
                                <w:color w:val="4C4E4B"/>
                              </w:rPr>
                            </w:pPr>
                            <w:r>
                              <w:rPr>
                                <w:rFonts w:ascii="Vinci Sans" w:hAnsi="Vinci Sans"/>
                                <w:color w:val="4C4E4B"/>
                              </w:rPr>
                              <w:t>KONTACT</w:t>
                            </w:r>
                            <w:r>
                              <w:rPr>
                                <w:rFonts w:ascii="Vinci Sans" w:hAnsi="Vinci Sans"/>
                                <w:color w:val="4C4E4B"/>
                              </w:rPr>
                              <w:br/>
                              <w:t>KOMUNIKACIJE</w:t>
                            </w:r>
                          </w:p>
                          <w:p w14:paraId="5693F9F7" w14:textId="4BF7EE30" w:rsidR="006328A6" w:rsidRPr="00E81CD1" w:rsidRDefault="006328A6" w:rsidP="00B12228">
                            <w:pPr>
                              <w:jc w:val="right"/>
                              <w:rPr>
                                <w:rFonts w:ascii="Vinci Sans" w:hAnsi="Vinci Sans"/>
                                <w:color w:val="4C4E4B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Vinci Sans" w:hAnsi="Vinci Sans"/>
                                  <w:color w:val="4C4E4B"/>
                                </w:rPr>
                                <w:t>komunikacije@beg.aero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à coins arrondis 1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82245"/>
                        </a:xfrm>
                        <a:prstGeom prst="roundRect">
                          <a:avLst>
                            <a:gd name="adj" fmla="val 24458"/>
                          </a:avLst>
                        </a:prstGeom>
                        <a:solidFill>
                          <a:srgbClr val="54B9DE"/>
                        </a:solidFill>
                        <a:ln>
                          <a:noFill/>
                        </a:ln>
                      </wps:spPr>
                      <wps:bodyPr rot="0"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6A3667D4" id="Groupe 2" o:spid="_x0000_s1026" style="position:absolute;left:0;text-align:left;margin-left:292.05pt;margin-top:-37.75pt;width:211.75pt;height:86.4pt;z-index:251667456" coordsize="26891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left:6317;top:1828;width:2057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D34F4FA" w14:textId="77777777" w:rsidR="006328A6" w:rsidRDefault="006328A6" w:rsidP="00B12228">
                      <w:pPr>
                        <w:jc w:val="right"/>
                        <w:rPr>
                          <w:rFonts w:ascii="Vinci Sans" w:hAnsi="Vinci Sans"/>
                          <w:color w:val="4C4E4B"/>
                        </w:rPr>
                      </w:pPr>
                      <w:r>
                        <w:rPr>
                          <w:rFonts w:ascii="Vinci Sans" w:hAnsi="Vinci Sans"/>
                          <w:color w:val="4C4E4B"/>
                        </w:rPr>
                        <w:t>KONTACT</w:t>
                      </w:r>
                      <w:r>
                        <w:rPr>
                          <w:rFonts w:ascii="Vinci Sans" w:hAnsi="Vinci Sans"/>
                          <w:color w:val="4C4E4B"/>
                        </w:rPr>
                        <w:br/>
                        <w:t>KOMUNIKACIJE</w:t>
                      </w:r>
                    </w:p>
                    <w:p w14:paraId="5693F9F7" w14:textId="4BF7EE30" w:rsidR="006328A6" w:rsidRPr="00E81CD1" w:rsidRDefault="006328A6" w:rsidP="00B12228">
                      <w:pPr>
                        <w:jc w:val="right"/>
                        <w:rPr>
                          <w:rFonts w:ascii="Vinci Sans" w:hAnsi="Vinci Sans"/>
                          <w:color w:val="4C4E4B"/>
                        </w:rPr>
                      </w:pPr>
                      <w:hyperlink r:id="rId2" w:history="1">
                        <w:r>
                          <w:rPr>
                            <w:rStyle w:val="Hyperlink"/>
                            <w:rFonts w:ascii="Vinci Sans" w:hAnsi="Vinci Sans"/>
                            <w:color w:val="4C4E4B"/>
                          </w:rPr>
                          <w:t>komunikacije@beg.aero</w:t>
                        </w:r>
                      </w:hyperlink>
                    </w:p>
                  </w:txbxContent>
                </v:textbox>
              </v:shape>
              <v:roundrect id="Rectangle à coins arrondis 14" o:spid="_x0000_s1028" style="position:absolute;width:25914;height:1822;visibility:visible;mso-wrap-style:square;v-text-anchor:middle" arcsize="160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" fillcolor="#54b9de" stroked="f"/>
            </v:group>
          </w:pict>
        </mc:Fallback>
      </mc:AlternateContent>
    </w:r>
    <w:r>
      <w:rPr>
        <w:rFonts w:ascii="Vinci Sans" w:hAnsi="Vinci Sans"/>
        <w:i/>
        <w:color w:val="4C4E4B"/>
        <w:sz w:val="16"/>
        <w:szCs w:val="16"/>
      </w:rPr>
      <w:t>Ovo izdanje je zvanični informativni dokument kompanije VINCI Group.</w:t>
    </w:r>
  </w:p>
  <w:p w14:paraId="48E45D8C" w14:textId="77777777" w:rsidR="006328A6" w:rsidRPr="00E81CD1" w:rsidRDefault="006328A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824F8" w14:textId="77777777" w:rsidR="00F341E1" w:rsidRDefault="00F341E1" w:rsidP="00F47B52">
      <w:r>
        <w:separator/>
      </w:r>
    </w:p>
  </w:footnote>
  <w:footnote w:type="continuationSeparator" w:id="0">
    <w:p w14:paraId="4D062901" w14:textId="77777777" w:rsidR="00F341E1" w:rsidRDefault="00F341E1" w:rsidP="00F47B52">
      <w:r>
        <w:continuationSeparator/>
      </w:r>
    </w:p>
  </w:footnote>
  <w:footnote w:id="1">
    <w:p w14:paraId="717435EC" w14:textId="1C1170D6" w:rsidR="00174690" w:rsidRPr="00A96F41" w:rsidRDefault="00174690" w:rsidP="00174690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Latn-RS"/>
        </w:rPr>
        <w:t xml:space="preserve">Podatak na </w:t>
      </w:r>
      <w:r>
        <w:rPr>
          <w:sz w:val="16"/>
          <w:szCs w:val="16"/>
        </w:rPr>
        <w:t xml:space="preserve">100% </w:t>
      </w:r>
      <w:r>
        <w:rPr>
          <w:sz w:val="16"/>
          <w:szCs w:val="16"/>
        </w:rPr>
        <w:t xml:space="preserve">procenjenih na dan </w:t>
      </w:r>
      <w:r>
        <w:rPr>
          <w:sz w:val="16"/>
          <w:szCs w:val="16"/>
        </w:rPr>
        <w:t xml:space="preserve">15. </w:t>
      </w:r>
      <w:r>
        <w:rPr>
          <w:sz w:val="16"/>
          <w:szCs w:val="16"/>
          <w:lang w:val="sr-Latn-RS"/>
        </w:rPr>
        <w:t>april</w:t>
      </w:r>
      <w:r>
        <w:rPr>
          <w:sz w:val="16"/>
          <w:szCs w:val="16"/>
        </w:rPr>
        <w:t xml:space="preserve"> 2020. </w:t>
      </w:r>
      <w:r>
        <w:rPr>
          <w:sz w:val="16"/>
          <w:szCs w:val="16"/>
          <w:lang w:val="sr-Latn-RS"/>
        </w:rPr>
        <w:t>godine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Podaci za </w:t>
      </w:r>
      <w:r>
        <w:rPr>
          <w:sz w:val="16"/>
          <w:szCs w:val="16"/>
        </w:rPr>
        <w:t xml:space="preserve">2019. </w:t>
      </w:r>
      <w:r>
        <w:rPr>
          <w:sz w:val="16"/>
          <w:szCs w:val="16"/>
        </w:rPr>
        <w:t xml:space="preserve">godinu uključuju </w:t>
      </w:r>
      <w:r>
        <w:rPr>
          <w:sz w:val="16"/>
          <w:szCs w:val="16"/>
          <w:lang w:val="sr-Latn-RS"/>
        </w:rPr>
        <w:t>saobraćaj aerodroma za celu godinu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03E4" w14:textId="2087DFFC" w:rsidR="006328A6" w:rsidRDefault="006328A6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63360" behindDoc="0" locked="0" layoutInCell="1" allowOverlap="1" wp14:anchorId="17A877C7" wp14:editId="23937CDC">
          <wp:simplePos x="0" y="0"/>
          <wp:positionH relativeFrom="column">
            <wp:posOffset>-914400</wp:posOffset>
          </wp:positionH>
          <wp:positionV relativeFrom="paragraph">
            <wp:posOffset>-444353</wp:posOffset>
          </wp:positionV>
          <wp:extent cx="7559675" cy="1856105"/>
          <wp:effectExtent l="0" t="0" r="9525" b="0"/>
          <wp:wrapThrough wrapText="bothSides">
            <wp:wrapPolygon edited="0">
              <wp:start x="0" y="0"/>
              <wp:lineTo x="0" y="21282"/>
              <wp:lineTo x="21555" y="21282"/>
              <wp:lineTo x="21555" y="0"/>
              <wp:lineTo x="0" y="0"/>
            </wp:wrapPolygon>
          </wp:wrapThrough>
          <wp:docPr id="4" name="Image 1" descr="Macintosh HD:Users:ccucchi:Desktop:tetiereA4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Macintosh HD:Users:ccucchi:Desktop:tetiereA4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5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AC27E9"/>
    <w:multiLevelType w:val="hybridMultilevel"/>
    <w:tmpl w:val="C0366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48F11E4"/>
    <w:multiLevelType w:val="hybridMultilevel"/>
    <w:tmpl w:val="31502EF8"/>
    <w:lvl w:ilvl="0" w:tplc="8798527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Vinci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6EDE"/>
    <w:multiLevelType w:val="hybridMultilevel"/>
    <w:tmpl w:val="54A005E4"/>
    <w:lvl w:ilvl="0" w:tplc="065C7796">
      <w:numFmt w:val="bullet"/>
      <w:lvlText w:val="-"/>
      <w:lvlJc w:val="left"/>
      <w:pPr>
        <w:ind w:left="1060" w:hanging="700"/>
      </w:pPr>
      <w:rPr>
        <w:rFonts w:ascii="Vinci Sans" w:eastAsiaTheme="minorHAnsi" w:hAnsi="Vinci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381D7B"/>
    <w:multiLevelType w:val="hybridMultilevel"/>
    <w:tmpl w:val="8C1A3B8A"/>
    <w:lvl w:ilvl="0" w:tplc="9FBC6CB8">
      <w:start w:val="1"/>
      <w:numFmt w:val="bullet"/>
      <w:pStyle w:val="IntroCP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0F9A4477"/>
    <w:multiLevelType w:val="hybridMultilevel"/>
    <w:tmpl w:val="F784434E"/>
    <w:lvl w:ilvl="0" w:tplc="8CF2BC1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D7ABA"/>
    <w:multiLevelType w:val="hybridMultilevel"/>
    <w:tmpl w:val="EF74F060"/>
    <w:lvl w:ilvl="0" w:tplc="EFD087C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F25A1"/>
    <w:multiLevelType w:val="multilevel"/>
    <w:tmpl w:val="7458F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CC1410A"/>
    <w:multiLevelType w:val="hybridMultilevel"/>
    <w:tmpl w:val="BD90E01E"/>
    <w:lvl w:ilvl="0" w:tplc="F432A60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50853EB"/>
    <w:multiLevelType w:val="hybridMultilevel"/>
    <w:tmpl w:val="3318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F3E48"/>
    <w:multiLevelType w:val="hybridMultilevel"/>
    <w:tmpl w:val="DB5E2768"/>
    <w:lvl w:ilvl="0" w:tplc="4ACE415C">
      <w:start w:val="101"/>
      <w:numFmt w:val="bullet"/>
      <w:lvlText w:val="-"/>
      <w:lvlJc w:val="left"/>
      <w:pPr>
        <w:ind w:left="927" w:hanging="360"/>
      </w:pPr>
      <w:rPr>
        <w:rFonts w:ascii="Vinci Sans" w:eastAsia="Times New Roman" w:hAnsi="Vinci Sans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61D26D1"/>
    <w:multiLevelType w:val="hybridMultilevel"/>
    <w:tmpl w:val="BD90E01E"/>
    <w:lvl w:ilvl="0" w:tplc="F432A60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3D72715E"/>
    <w:multiLevelType w:val="hybridMultilevel"/>
    <w:tmpl w:val="EFB4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17B8C"/>
    <w:multiLevelType w:val="hybridMultilevel"/>
    <w:tmpl w:val="18F03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7CA6"/>
    <w:multiLevelType w:val="hybridMultilevel"/>
    <w:tmpl w:val="9D426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6052E1"/>
    <w:multiLevelType w:val="hybridMultilevel"/>
    <w:tmpl w:val="92C8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A2DD7"/>
    <w:multiLevelType w:val="multilevel"/>
    <w:tmpl w:val="A426C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2065A0"/>
    <w:multiLevelType w:val="hybridMultilevel"/>
    <w:tmpl w:val="F380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513B7"/>
    <w:multiLevelType w:val="hybridMultilevel"/>
    <w:tmpl w:val="0044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E5764"/>
    <w:multiLevelType w:val="hybridMultilevel"/>
    <w:tmpl w:val="25E06224"/>
    <w:lvl w:ilvl="0" w:tplc="48BCEBC2">
      <w:start w:val="5"/>
      <w:numFmt w:val="bullet"/>
      <w:lvlText w:val="-"/>
      <w:lvlJc w:val="left"/>
      <w:pPr>
        <w:ind w:left="360" w:hanging="360"/>
      </w:pPr>
      <w:rPr>
        <w:rFonts w:ascii="Vinci Sans" w:eastAsia="MS Mincho" w:hAnsi="Vinci Sans" w:cs="Helv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C34E7"/>
    <w:multiLevelType w:val="hybridMultilevel"/>
    <w:tmpl w:val="BD90E01E"/>
    <w:lvl w:ilvl="0" w:tplc="F432A60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644C7A60"/>
    <w:multiLevelType w:val="hybridMultilevel"/>
    <w:tmpl w:val="BD90E01E"/>
    <w:lvl w:ilvl="0" w:tplc="F432A60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64723669"/>
    <w:multiLevelType w:val="hybridMultilevel"/>
    <w:tmpl w:val="3B50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B5E02"/>
    <w:multiLevelType w:val="hybridMultilevel"/>
    <w:tmpl w:val="F3C6AF08"/>
    <w:lvl w:ilvl="0" w:tplc="0A2ED020">
      <w:start w:val="255"/>
      <w:numFmt w:val="bullet"/>
      <w:lvlText w:val="-"/>
      <w:lvlJc w:val="left"/>
      <w:pPr>
        <w:ind w:left="720" w:hanging="360"/>
      </w:pPr>
      <w:rPr>
        <w:rFonts w:ascii="Vinci Sans" w:eastAsia="Vinci Sans" w:hAnsi="Vinci Sans" w:cs="Vinci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16D33"/>
    <w:multiLevelType w:val="hybridMultilevel"/>
    <w:tmpl w:val="AF8AE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52CC4"/>
    <w:multiLevelType w:val="hybridMultilevel"/>
    <w:tmpl w:val="1BB2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1"/>
  </w:num>
  <w:num w:numId="12">
    <w:abstractNumId w:val="9"/>
  </w:num>
  <w:num w:numId="13">
    <w:abstractNumId w:val="11"/>
  </w:num>
  <w:num w:numId="14">
    <w:abstractNumId w:val="18"/>
  </w:num>
  <w:num w:numId="15">
    <w:abstractNumId w:val="13"/>
  </w:num>
  <w:num w:numId="16">
    <w:abstractNumId w:val="30"/>
  </w:num>
  <w:num w:numId="17">
    <w:abstractNumId w:val="12"/>
  </w:num>
  <w:num w:numId="18">
    <w:abstractNumId w:val="10"/>
  </w:num>
  <w:num w:numId="19">
    <w:abstractNumId w:val="27"/>
  </w:num>
  <w:num w:numId="20">
    <w:abstractNumId w:val="20"/>
  </w:num>
  <w:num w:numId="21">
    <w:abstractNumId w:val="22"/>
  </w:num>
  <w:num w:numId="22">
    <w:abstractNumId w:val="14"/>
  </w:num>
  <w:num w:numId="23">
    <w:abstractNumId w:val="33"/>
  </w:num>
  <w:num w:numId="24">
    <w:abstractNumId w:val="17"/>
  </w:num>
  <w:num w:numId="25">
    <w:abstractNumId w:val="16"/>
  </w:num>
  <w:num w:numId="26">
    <w:abstractNumId w:val="19"/>
  </w:num>
  <w:num w:numId="27">
    <w:abstractNumId w:val="23"/>
  </w:num>
  <w:num w:numId="28">
    <w:abstractNumId w:val="28"/>
  </w:num>
  <w:num w:numId="29">
    <w:abstractNumId w:val="15"/>
  </w:num>
  <w:num w:numId="30">
    <w:abstractNumId w:val="24"/>
  </w:num>
  <w:num w:numId="31">
    <w:abstractNumId w:val="32"/>
  </w:num>
  <w:num w:numId="32">
    <w:abstractNumId w:val="26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F1"/>
    <w:rsid w:val="000048B0"/>
    <w:rsid w:val="000128C3"/>
    <w:rsid w:val="000214D0"/>
    <w:rsid w:val="000366A5"/>
    <w:rsid w:val="00041F7C"/>
    <w:rsid w:val="00050C64"/>
    <w:rsid w:val="00051E9E"/>
    <w:rsid w:val="00060C12"/>
    <w:rsid w:val="000656F7"/>
    <w:rsid w:val="00065B2B"/>
    <w:rsid w:val="00093FB0"/>
    <w:rsid w:val="0009698C"/>
    <w:rsid w:val="000A13A1"/>
    <w:rsid w:val="000A1865"/>
    <w:rsid w:val="000A5312"/>
    <w:rsid w:val="000A5EE2"/>
    <w:rsid w:val="000A770B"/>
    <w:rsid w:val="000B35E6"/>
    <w:rsid w:val="000B429A"/>
    <w:rsid w:val="000C1C12"/>
    <w:rsid w:val="000C54BD"/>
    <w:rsid w:val="000E4544"/>
    <w:rsid w:val="000E4E99"/>
    <w:rsid w:val="000F1F80"/>
    <w:rsid w:val="000F7112"/>
    <w:rsid w:val="001044EC"/>
    <w:rsid w:val="001216E9"/>
    <w:rsid w:val="00151C51"/>
    <w:rsid w:val="00165448"/>
    <w:rsid w:val="00171544"/>
    <w:rsid w:val="00174690"/>
    <w:rsid w:val="00176E7A"/>
    <w:rsid w:val="00196355"/>
    <w:rsid w:val="001A2974"/>
    <w:rsid w:val="001A5D67"/>
    <w:rsid w:val="001B4EF5"/>
    <w:rsid w:val="001B71D0"/>
    <w:rsid w:val="001C34DF"/>
    <w:rsid w:val="001C3D83"/>
    <w:rsid w:val="001D7CB1"/>
    <w:rsid w:val="001F1A60"/>
    <w:rsid w:val="001F27C9"/>
    <w:rsid w:val="002074D0"/>
    <w:rsid w:val="002146A2"/>
    <w:rsid w:val="002303A3"/>
    <w:rsid w:val="00233911"/>
    <w:rsid w:val="00255D84"/>
    <w:rsid w:val="00266625"/>
    <w:rsid w:val="00266AA0"/>
    <w:rsid w:val="00286FAD"/>
    <w:rsid w:val="002938AC"/>
    <w:rsid w:val="0029595D"/>
    <w:rsid w:val="002A2DF2"/>
    <w:rsid w:val="002A5F92"/>
    <w:rsid w:val="002A63D0"/>
    <w:rsid w:val="002B1AB9"/>
    <w:rsid w:val="002C5426"/>
    <w:rsid w:val="002E1E62"/>
    <w:rsid w:val="002E2139"/>
    <w:rsid w:val="002F5324"/>
    <w:rsid w:val="00301AE4"/>
    <w:rsid w:val="003052DC"/>
    <w:rsid w:val="00306FB7"/>
    <w:rsid w:val="00335C2F"/>
    <w:rsid w:val="00347B14"/>
    <w:rsid w:val="003633F1"/>
    <w:rsid w:val="0037277D"/>
    <w:rsid w:val="003A1AC2"/>
    <w:rsid w:val="003A46E7"/>
    <w:rsid w:val="003B02E6"/>
    <w:rsid w:val="003D2EB9"/>
    <w:rsid w:val="003D4123"/>
    <w:rsid w:val="003D4BFC"/>
    <w:rsid w:val="003E11C7"/>
    <w:rsid w:val="003F063C"/>
    <w:rsid w:val="00400EE4"/>
    <w:rsid w:val="00410CB9"/>
    <w:rsid w:val="004120A6"/>
    <w:rsid w:val="00421001"/>
    <w:rsid w:val="0042278B"/>
    <w:rsid w:val="00422C67"/>
    <w:rsid w:val="004234E6"/>
    <w:rsid w:val="00425152"/>
    <w:rsid w:val="004403CF"/>
    <w:rsid w:val="004679CC"/>
    <w:rsid w:val="004708B5"/>
    <w:rsid w:val="004749A4"/>
    <w:rsid w:val="004A5678"/>
    <w:rsid w:val="004A5D2E"/>
    <w:rsid w:val="004B79DC"/>
    <w:rsid w:val="004C20AF"/>
    <w:rsid w:val="004C3448"/>
    <w:rsid w:val="004D0588"/>
    <w:rsid w:val="004D746F"/>
    <w:rsid w:val="004E5B8F"/>
    <w:rsid w:val="004E727A"/>
    <w:rsid w:val="00510917"/>
    <w:rsid w:val="00515D0D"/>
    <w:rsid w:val="0051733F"/>
    <w:rsid w:val="005203E9"/>
    <w:rsid w:val="00526631"/>
    <w:rsid w:val="005266DA"/>
    <w:rsid w:val="00526C98"/>
    <w:rsid w:val="00531BF6"/>
    <w:rsid w:val="00534B4D"/>
    <w:rsid w:val="00551EC1"/>
    <w:rsid w:val="005525A3"/>
    <w:rsid w:val="00554E96"/>
    <w:rsid w:val="0055528B"/>
    <w:rsid w:val="0057597A"/>
    <w:rsid w:val="0059225E"/>
    <w:rsid w:val="005A611A"/>
    <w:rsid w:val="005B2F8E"/>
    <w:rsid w:val="005B6490"/>
    <w:rsid w:val="005D7581"/>
    <w:rsid w:val="005E35D7"/>
    <w:rsid w:val="005E3D57"/>
    <w:rsid w:val="00600850"/>
    <w:rsid w:val="006025D4"/>
    <w:rsid w:val="00621C63"/>
    <w:rsid w:val="006328A6"/>
    <w:rsid w:val="00636BCA"/>
    <w:rsid w:val="00650202"/>
    <w:rsid w:val="006511B5"/>
    <w:rsid w:val="006534BB"/>
    <w:rsid w:val="006539BF"/>
    <w:rsid w:val="00653CE2"/>
    <w:rsid w:val="00672AF9"/>
    <w:rsid w:val="0067401D"/>
    <w:rsid w:val="006761CC"/>
    <w:rsid w:val="006779F7"/>
    <w:rsid w:val="00680771"/>
    <w:rsid w:val="00685881"/>
    <w:rsid w:val="006A1457"/>
    <w:rsid w:val="006C21DD"/>
    <w:rsid w:val="006D3444"/>
    <w:rsid w:val="006D40BE"/>
    <w:rsid w:val="006D4CDA"/>
    <w:rsid w:val="006D68C7"/>
    <w:rsid w:val="006F3143"/>
    <w:rsid w:val="0070615F"/>
    <w:rsid w:val="00711E06"/>
    <w:rsid w:val="00720EAA"/>
    <w:rsid w:val="00725BE8"/>
    <w:rsid w:val="007319D9"/>
    <w:rsid w:val="007320E9"/>
    <w:rsid w:val="007340AC"/>
    <w:rsid w:val="0073696D"/>
    <w:rsid w:val="007518A7"/>
    <w:rsid w:val="00752682"/>
    <w:rsid w:val="0077205C"/>
    <w:rsid w:val="00784475"/>
    <w:rsid w:val="007911D3"/>
    <w:rsid w:val="007915F7"/>
    <w:rsid w:val="007A0BB5"/>
    <w:rsid w:val="007A5983"/>
    <w:rsid w:val="007B1C8B"/>
    <w:rsid w:val="007B5D23"/>
    <w:rsid w:val="007C4C79"/>
    <w:rsid w:val="007D0B61"/>
    <w:rsid w:val="007D12DD"/>
    <w:rsid w:val="007D75DE"/>
    <w:rsid w:val="007E4DA8"/>
    <w:rsid w:val="007E7ADA"/>
    <w:rsid w:val="007F1EE7"/>
    <w:rsid w:val="007F6A13"/>
    <w:rsid w:val="007F6E90"/>
    <w:rsid w:val="008011C0"/>
    <w:rsid w:val="00804D92"/>
    <w:rsid w:val="00814274"/>
    <w:rsid w:val="00823186"/>
    <w:rsid w:val="00841503"/>
    <w:rsid w:val="00857168"/>
    <w:rsid w:val="00867301"/>
    <w:rsid w:val="00875902"/>
    <w:rsid w:val="00881B63"/>
    <w:rsid w:val="008A34CA"/>
    <w:rsid w:val="008D60F8"/>
    <w:rsid w:val="008D7662"/>
    <w:rsid w:val="008D78E5"/>
    <w:rsid w:val="008E4C08"/>
    <w:rsid w:val="008E5372"/>
    <w:rsid w:val="008F4358"/>
    <w:rsid w:val="00911E06"/>
    <w:rsid w:val="00913C43"/>
    <w:rsid w:val="00915625"/>
    <w:rsid w:val="00917B33"/>
    <w:rsid w:val="00922001"/>
    <w:rsid w:val="00936296"/>
    <w:rsid w:val="00950BC7"/>
    <w:rsid w:val="00951B18"/>
    <w:rsid w:val="00953AD0"/>
    <w:rsid w:val="009660AE"/>
    <w:rsid w:val="00976F02"/>
    <w:rsid w:val="009774A9"/>
    <w:rsid w:val="00994752"/>
    <w:rsid w:val="009950F5"/>
    <w:rsid w:val="009968D2"/>
    <w:rsid w:val="009A1292"/>
    <w:rsid w:val="009B3C08"/>
    <w:rsid w:val="009E4033"/>
    <w:rsid w:val="009F395F"/>
    <w:rsid w:val="00A1623A"/>
    <w:rsid w:val="00A4038B"/>
    <w:rsid w:val="00A54098"/>
    <w:rsid w:val="00A55EBD"/>
    <w:rsid w:val="00A671C4"/>
    <w:rsid w:val="00A71BB0"/>
    <w:rsid w:val="00A95069"/>
    <w:rsid w:val="00AA5524"/>
    <w:rsid w:val="00AA5850"/>
    <w:rsid w:val="00AB5622"/>
    <w:rsid w:val="00AB7BBF"/>
    <w:rsid w:val="00AC0BAD"/>
    <w:rsid w:val="00AC1DC9"/>
    <w:rsid w:val="00AC6883"/>
    <w:rsid w:val="00AC7AC8"/>
    <w:rsid w:val="00AD47E9"/>
    <w:rsid w:val="00AE1DF5"/>
    <w:rsid w:val="00AE450C"/>
    <w:rsid w:val="00B0507C"/>
    <w:rsid w:val="00B065D7"/>
    <w:rsid w:val="00B10684"/>
    <w:rsid w:val="00B12228"/>
    <w:rsid w:val="00B24F28"/>
    <w:rsid w:val="00B264A0"/>
    <w:rsid w:val="00B41DB8"/>
    <w:rsid w:val="00B6183F"/>
    <w:rsid w:val="00B63682"/>
    <w:rsid w:val="00B72822"/>
    <w:rsid w:val="00B77774"/>
    <w:rsid w:val="00B81DAE"/>
    <w:rsid w:val="00BB1AD0"/>
    <w:rsid w:val="00BB2134"/>
    <w:rsid w:val="00BB2CF3"/>
    <w:rsid w:val="00BB4C86"/>
    <w:rsid w:val="00BB6073"/>
    <w:rsid w:val="00BF5F40"/>
    <w:rsid w:val="00C01B44"/>
    <w:rsid w:val="00C2519C"/>
    <w:rsid w:val="00C321D7"/>
    <w:rsid w:val="00C45583"/>
    <w:rsid w:val="00C50E78"/>
    <w:rsid w:val="00C668EA"/>
    <w:rsid w:val="00C70B31"/>
    <w:rsid w:val="00C713A9"/>
    <w:rsid w:val="00C76417"/>
    <w:rsid w:val="00C839F0"/>
    <w:rsid w:val="00C84C9D"/>
    <w:rsid w:val="00C85ED7"/>
    <w:rsid w:val="00C91F45"/>
    <w:rsid w:val="00C9651C"/>
    <w:rsid w:val="00CA3A0E"/>
    <w:rsid w:val="00CB512B"/>
    <w:rsid w:val="00CB7B17"/>
    <w:rsid w:val="00CD442C"/>
    <w:rsid w:val="00CE1562"/>
    <w:rsid w:val="00CF4455"/>
    <w:rsid w:val="00CF5D7E"/>
    <w:rsid w:val="00D00035"/>
    <w:rsid w:val="00D114D3"/>
    <w:rsid w:val="00D159B1"/>
    <w:rsid w:val="00D177D3"/>
    <w:rsid w:val="00D3018A"/>
    <w:rsid w:val="00D3129B"/>
    <w:rsid w:val="00D319BE"/>
    <w:rsid w:val="00D333A6"/>
    <w:rsid w:val="00D5353E"/>
    <w:rsid w:val="00D53F2A"/>
    <w:rsid w:val="00D56E42"/>
    <w:rsid w:val="00D6529B"/>
    <w:rsid w:val="00D65D7A"/>
    <w:rsid w:val="00D716F1"/>
    <w:rsid w:val="00D802EE"/>
    <w:rsid w:val="00D8607C"/>
    <w:rsid w:val="00D94297"/>
    <w:rsid w:val="00D9479B"/>
    <w:rsid w:val="00D97459"/>
    <w:rsid w:val="00DA0248"/>
    <w:rsid w:val="00DA1D06"/>
    <w:rsid w:val="00DA46A8"/>
    <w:rsid w:val="00DA5DC8"/>
    <w:rsid w:val="00DB4611"/>
    <w:rsid w:val="00DB6CFD"/>
    <w:rsid w:val="00DC11CE"/>
    <w:rsid w:val="00DD059D"/>
    <w:rsid w:val="00DD30FE"/>
    <w:rsid w:val="00DE6EE8"/>
    <w:rsid w:val="00E030AF"/>
    <w:rsid w:val="00E035B6"/>
    <w:rsid w:val="00E03C3E"/>
    <w:rsid w:val="00E06195"/>
    <w:rsid w:val="00E06363"/>
    <w:rsid w:val="00E12781"/>
    <w:rsid w:val="00E13A32"/>
    <w:rsid w:val="00E22249"/>
    <w:rsid w:val="00E22D01"/>
    <w:rsid w:val="00E30BAB"/>
    <w:rsid w:val="00E41EE0"/>
    <w:rsid w:val="00E528DF"/>
    <w:rsid w:val="00E55AEE"/>
    <w:rsid w:val="00E55C84"/>
    <w:rsid w:val="00E60242"/>
    <w:rsid w:val="00E748FD"/>
    <w:rsid w:val="00E74BB4"/>
    <w:rsid w:val="00E768AD"/>
    <w:rsid w:val="00E81CD1"/>
    <w:rsid w:val="00E848B3"/>
    <w:rsid w:val="00E86B2B"/>
    <w:rsid w:val="00E9561C"/>
    <w:rsid w:val="00EA1DDA"/>
    <w:rsid w:val="00EA29B9"/>
    <w:rsid w:val="00EA2FBF"/>
    <w:rsid w:val="00EA416B"/>
    <w:rsid w:val="00EB1768"/>
    <w:rsid w:val="00EB1842"/>
    <w:rsid w:val="00EE1856"/>
    <w:rsid w:val="00F0619E"/>
    <w:rsid w:val="00F0732E"/>
    <w:rsid w:val="00F13A45"/>
    <w:rsid w:val="00F16D16"/>
    <w:rsid w:val="00F22ECC"/>
    <w:rsid w:val="00F32F30"/>
    <w:rsid w:val="00F341E1"/>
    <w:rsid w:val="00F47B52"/>
    <w:rsid w:val="00F50F98"/>
    <w:rsid w:val="00F77A3E"/>
    <w:rsid w:val="00F77F1A"/>
    <w:rsid w:val="00F8029A"/>
    <w:rsid w:val="00F823F7"/>
    <w:rsid w:val="00F83569"/>
    <w:rsid w:val="00F944F9"/>
    <w:rsid w:val="00FA4400"/>
    <w:rsid w:val="00FA6CE8"/>
    <w:rsid w:val="00FB5DA1"/>
    <w:rsid w:val="00FC34D3"/>
    <w:rsid w:val="00FD634C"/>
    <w:rsid w:val="00FD70D1"/>
    <w:rsid w:val="00FE0D43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E33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B14"/>
    <w:rPr>
      <w:rFonts w:ascii="Calibri" w:hAnsi="Calibri"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602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2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47B52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7B52"/>
  </w:style>
  <w:style w:type="paragraph" w:styleId="Footer">
    <w:name w:val="footer"/>
    <w:basedOn w:val="Normal"/>
    <w:link w:val="FooterChar"/>
    <w:uiPriority w:val="99"/>
    <w:unhideWhenUsed/>
    <w:rsid w:val="00F47B52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7B52"/>
  </w:style>
  <w:style w:type="paragraph" w:styleId="ListParagraph">
    <w:name w:val="List Paragraph"/>
    <w:aliases w:val="PADE_liste,texte de base,Numbered List"/>
    <w:basedOn w:val="Normal"/>
    <w:link w:val="ListParagraphChar"/>
    <w:uiPriority w:val="34"/>
    <w:qFormat/>
    <w:rsid w:val="00F32F30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aliases w:val="PADE_liste Char,texte de base Char,Numbered List Char"/>
    <w:basedOn w:val="DefaultParagraphFont"/>
    <w:link w:val="ListParagraph"/>
    <w:uiPriority w:val="34"/>
    <w:locked/>
    <w:rsid w:val="00E60242"/>
  </w:style>
  <w:style w:type="character" w:styleId="Hyperlink">
    <w:name w:val="Hyperlink"/>
    <w:unhideWhenUsed/>
    <w:rsid w:val="00D535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40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3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C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C2F"/>
    <w:rPr>
      <w:rFonts w:ascii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C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C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C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DF2"/>
  </w:style>
  <w:style w:type="paragraph" w:customStyle="1" w:styleId="Default">
    <w:name w:val="Default"/>
    <w:rsid w:val="006F314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E60242"/>
    <w:rPr>
      <w:i/>
      <w:iCs/>
    </w:rPr>
  </w:style>
  <w:style w:type="character" w:customStyle="1" w:styleId="IntroCPCar">
    <w:name w:val="IntroCP Car"/>
    <w:basedOn w:val="DefaultParagraphFont"/>
    <w:link w:val="IntroCP"/>
    <w:locked/>
    <w:rsid w:val="00E60242"/>
    <w:rPr>
      <w:rFonts w:ascii="Vinci Sans" w:hAnsi="Vinci Sans"/>
      <w:bCs/>
    </w:rPr>
  </w:style>
  <w:style w:type="paragraph" w:customStyle="1" w:styleId="IntroCP">
    <w:name w:val="IntroCP"/>
    <w:basedOn w:val="Normal"/>
    <w:link w:val="IntroCPCar"/>
    <w:qFormat/>
    <w:rsid w:val="00E60242"/>
    <w:pPr>
      <w:numPr>
        <w:numId w:val="17"/>
      </w:numPr>
      <w:ind w:left="2058" w:right="1701" w:hanging="357"/>
      <w:contextualSpacing/>
      <w:jc w:val="both"/>
    </w:pPr>
    <w:rPr>
      <w:rFonts w:ascii="Vinci Sans" w:hAnsi="Vinci Sans" w:cstheme="minorBidi"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60242"/>
  </w:style>
  <w:style w:type="character" w:customStyle="1" w:styleId="ember-view">
    <w:name w:val="ember-view"/>
    <w:basedOn w:val="DefaultParagraphFont"/>
    <w:rsid w:val="00E60242"/>
  </w:style>
  <w:style w:type="character" w:styleId="FootnoteReference">
    <w:name w:val="footnote reference"/>
    <w:uiPriority w:val="99"/>
    <w:unhideWhenUsed/>
    <w:rsid w:val="00E602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60242"/>
    <w:rPr>
      <w:rFonts w:eastAsia="Calibri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24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60242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E60242"/>
    <w:rPr>
      <w:rFonts w:ascii="Times New Roman" w:eastAsia="Times New Roman" w:hAnsi="Times New Roman" w:cs="Times New Roman"/>
      <w:sz w:val="28"/>
      <w:lang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242"/>
    <w:rPr>
      <w:rFonts w:ascii="Calibri" w:eastAsia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0242"/>
    <w:rPr>
      <w:rFonts w:eastAsia="Calibr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E602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nci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inci-airpor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xence.naouri@vinci.com" TargetMode="External"/><Relationship Id="rId1" Type="http://schemas.openxmlformats.org/officeDocument/2006/relationships/hyperlink" Target="mailto:maxence.naouri@vin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AD33D36CAC547BFCF62FD19B69AFB" ma:contentTypeVersion="10" ma:contentTypeDescription="Crée un document." ma:contentTypeScope="" ma:versionID="ee170980a0eb50eadb3c0e7ba8a1e92c">
  <xsd:schema xmlns:xsd="http://www.w3.org/2001/XMLSchema" xmlns:xs="http://www.w3.org/2001/XMLSchema" xmlns:p="http://schemas.microsoft.com/office/2006/metadata/properties" xmlns:ns3="7200a85f-37aa-4529-90bc-fd7680cbb93d" targetNamespace="http://schemas.microsoft.com/office/2006/metadata/properties" ma:root="true" ma:fieldsID="952811dc1dcbc5235cce4a0782fd31b2" ns3:_="">
    <xsd:import namespace="7200a85f-37aa-4529-90bc-fd7680cbb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0a85f-37aa-4529-90bc-fd7680cb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565CC-6647-49BB-BD67-02B7F3A6B1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0AE21-8A87-4539-B015-B13D4FE8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0a85f-37aa-4529-90bc-fd7680cbb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0FF36-4AC5-45D9-8672-B03E4D878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OUART Emeline</dc:creator>
  <cp:keywords/>
  <dc:description/>
  <cp:lastModifiedBy>Nikola Đukić</cp:lastModifiedBy>
  <cp:revision>9</cp:revision>
  <cp:lastPrinted>2020-04-16T08:01:00Z</cp:lastPrinted>
  <dcterms:created xsi:type="dcterms:W3CDTF">2020-04-16T07:58:00Z</dcterms:created>
  <dcterms:modified xsi:type="dcterms:W3CDTF">2020-04-16T08:35:00Z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0x010100209AD33D36CAC547BFCF62FD19B69AFB</vt:lpwstr>
  </property>
</Properties>
</file>